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F46A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Порядку предоставления 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проектов субъектами малого и 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в 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приоритетных отраслях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42"/>
      <w:bookmarkEnd w:id="0"/>
      <w:r w:rsidRPr="00F46A05">
        <w:rPr>
          <w:rFonts w:ascii="Arial" w:eastAsia="Times New Roman" w:hAnsi="Arial" w:cs="Arial"/>
          <w:sz w:val="24"/>
          <w:szCs w:val="24"/>
          <w:lang w:eastAsia="ru-RU"/>
        </w:rPr>
        <w:t>Заявлени</w:t>
      </w:r>
      <w:bookmarkStart w:id="1" w:name="_GoBack"/>
      <w:bookmarkEnd w:id="1"/>
      <w:r w:rsidRPr="00F46A05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предоставить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субсидия субъектам малого и среднего предпринимательства на реализацию  инвестиционных проектов субъектами малого и среднего предпринимательства  в приоритетных отраслях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1. Информация о заявителе: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юридический адрес: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Телефон, факс, e-mail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ИНН/КПП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3. Являюсь профессиональным  участником рынка  ценных бумаг: 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8. Нахожусь в состоянии банкротства, реорганизации, ликвидации:  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Применяемая заявителем система налогообложения (отметить любым знаком):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общая "___"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упрощенная (УСН) "___"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патентная (ПСН) "___"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единый сельскохозяйственный налог (ЕСХН) "___"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10.  Договор  лизинга  N  ________ от  ________;  N  ________ от ________;              N _______ от ___________; N ____________ от ___________.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Предмет лизинга по договору: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46A05" w:rsidRPr="00F46A05" w:rsidRDefault="00F46A05" w:rsidP="00F46A05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11 Настоящим заявлением подтверждаю: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уровней;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12.  Размер субсидии прошу установить в соответствии с порядком и условиями предоставления    субсидий    субъектам    малого    и среднего предпринимательства на реализацию инвестиционных проектов в приоритетных отраслях утвержденным постановлением Администрации Большеулуйского района от _________ № _____. </w:t>
      </w:r>
      <w:r w:rsidRPr="00F46A05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М.П.                        Дата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 xml:space="preserve">субъектами малого и среднего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 xml:space="preserve">предпринимательства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46A05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228"/>
      <w:bookmarkEnd w:id="2"/>
      <w:r w:rsidRPr="00F46A05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с. Большой Улуй                                                         "___" __________ 20__ г.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(ая) _____________,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проживающий (ая)__________________________________________________,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Администрацией Большеулуйского района, расположенной по адресу: с. Большой Улуй, ул.Революции,11 (далее - Оператор), моих персональных данных.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оказания  муниципальной поддержки.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на реализацию инвестиционных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 xml:space="preserve"> проектов субъектами малого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>и среднего предпринимательства</w:t>
      </w:r>
      <w:r w:rsidRPr="00F46A0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F46A05" w:rsidRPr="00F46A05" w:rsidRDefault="00F46A05" w:rsidP="00F46A0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F46A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субсидий субъектам малого и  среднего предпринимательства на реализацию инвестиционных проектов субъектами малого и среднего предпринимательства в приоритетных отраслях»,   </w:t>
      </w:r>
      <w:r w:rsidRPr="00F46A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F46A05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субсидию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субъекту малого и среднего предпринимательства на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реализацию инвестиционных проектов субъектами малого и среднего предпринимательства в приоритетных отраслях (далее - субсидия).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F46A05" w:rsidRPr="00F46A05" w:rsidRDefault="00F46A05" w:rsidP="00F46A0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в рамках 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Большеулуйский район Красноярского края из ______________________________________ бюджета. </w:t>
      </w:r>
    </w:p>
    <w:p w:rsidR="00F46A05" w:rsidRPr="00F46A05" w:rsidRDefault="00F46A05" w:rsidP="00F46A0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F46A05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F46A05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F46A05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</w:rPr>
        <w:t xml:space="preserve">2.2.3.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- количество созданных рабочих мест –  _________ рабочих мест;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46A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- __________тыс. руб.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2.4.2. Не позднее 05 мая года, следующего за отчетным, предоставлять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br/>
        <w:t>в  Администрацию Большеулуйского района: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показателях финансово-хозяйственной деятельности;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br/>
        <w:t>с приложением подтверждающих документов: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- расчет по страховым взносам (форма по КНД 1151111).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2.4.4. Не препятствовать проведению финансового контроля в соответствии с пунктом 2.2.2 настоящего Соглашения.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F46A05">
        <w:rPr>
          <w:rFonts w:ascii="Arial" w:eastAsia="Times New Roman" w:hAnsi="Arial" w:cs="Arial"/>
          <w:sz w:val="24"/>
          <w:szCs w:val="24"/>
        </w:rPr>
        <w:t xml:space="preserve"> </w:t>
      </w:r>
      <w:r w:rsidRPr="00F46A05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F46A05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F46A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F46A0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F46A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 (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F46A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5" o:title="" croptop="-14775f" cropleft="9744f" cropright="16814f" chromakey="white"/>
          </v:shape>
        </w:pic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 районного  бюджета в срок 30 рабочих дней со дня получения решения о возврате субсидии в размере </w:t>
      </w:r>
      <w:r w:rsidRPr="00F46A0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F46A0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F46A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6" o:title="" chromakey="white"/>
          </v:shape>
        </w:pic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F46A0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7" type="#_x0000_t75" style="width:123.75pt;height:41.25pt" equationxml="&lt;">
            <v:imagedata r:id="rId5" o:title="" chromakey="white"/>
          </v:shape>
        </w:pict>
      </w:r>
    </w:p>
    <w:p w:rsidR="00F46A05" w:rsidRPr="00F46A05" w:rsidRDefault="00F46A05" w:rsidP="00F46A0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F46A0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F46A0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8"/>
        <w:gridCol w:w="1800"/>
        <w:gridCol w:w="1626"/>
      </w:tblGrid>
      <w:tr w:rsidR="00F46A05" w:rsidRPr="00F46A05" w:rsidTr="00F536EF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F46A05" w:rsidRPr="00F46A05" w:rsidTr="00F536EF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A05" w:rsidRPr="00F46A05" w:rsidRDefault="00F46A05" w:rsidP="00F46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F46A05" w:rsidRPr="00F46A05" w:rsidTr="00F536EF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A05" w:rsidRPr="00F46A05" w:rsidRDefault="00F46A05" w:rsidP="00F46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46A05" w:rsidRPr="00F46A05" w:rsidTr="00F536EF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A05" w:rsidRPr="00F46A05" w:rsidRDefault="00F46A05" w:rsidP="00F46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3.2. . Администрация Большеулуйского района в течение 3 рабочих дней со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F46A05" w:rsidRPr="00F46A05" w:rsidRDefault="00F46A05" w:rsidP="00F46A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 районный бюджет сумму денежных средств, указанную в решении о возврате субсидии, в полном объеме.</w:t>
      </w:r>
    </w:p>
    <w:p w:rsidR="00F46A05" w:rsidRPr="00F46A05" w:rsidRDefault="00F46A05" w:rsidP="00F46A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4. Ответственность Сторон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 Администрация вправе потребовать выплаты неустойки в размере 0,1% от суммы невозвращенных средств за каждый день просрочки.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F46A05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F46A05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F46A05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F46A05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Большеулуйского района    </w:t>
      </w:r>
      <w:r w:rsidRPr="00F46A05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7" w:anchor="Основание_возврата_субсидии" w:history="1">
        <w:r w:rsidRPr="00F46A05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F46A05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5.2. В случае недостижения согласия путем переговоров Сторон возникшие разногласия рассматриваются Арбитражным судом Красноярского края.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5.3. Настоящее Соглашение составлено в двух экземплярах, имеющих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равную юридическую силу, по одному для каждой из Сторон.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F46A05" w:rsidRPr="00F46A05" w:rsidRDefault="00F46A05" w:rsidP="00F46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F46A05" w:rsidRPr="00F46A05" w:rsidTr="00F536EF">
        <w:tc>
          <w:tcPr>
            <w:tcW w:w="507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Администрация Большеулуйского района Красноярского края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46A05" w:rsidRPr="00F46A05" w:rsidSect="00875B2B">
          <w:headerReference w:type="default" r:id="rId8"/>
          <w:headerReference w:type="first" r:id="rId9"/>
          <w:pgSz w:w="11906" w:h="16838"/>
          <w:pgMar w:top="142" w:right="851" w:bottom="851" w:left="1701" w:header="510" w:footer="510" w:gutter="0"/>
          <w:cols w:space="708"/>
          <w:titlePg/>
          <w:docGrid w:linePitch="360"/>
        </w:sect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№4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F46A05" w:rsidRPr="00F46A05" w:rsidTr="00F536EF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F46A05" w:rsidRPr="00F46A05" w:rsidTr="00F536EF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46A05" w:rsidRPr="00F46A05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Глава  Большеулуйского района ________________________ Ф.И.О.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46A0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</w:rPr>
        <w:t xml:space="preserve">субсидий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F46A05" w:rsidRPr="00F46A05" w:rsidRDefault="00F46A05" w:rsidP="00F46A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о деятельности получателя субсидии</w:t>
      </w:r>
    </w:p>
    <w:p w:rsidR="00F46A05" w:rsidRPr="00F46A05" w:rsidRDefault="00F46A05" w:rsidP="00F46A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F46A05" w:rsidRPr="00F46A05" w:rsidRDefault="00F46A05" w:rsidP="00F46A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(дата оказания поддержки)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(отчетный год)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F46A05" w:rsidRPr="00F46A05" w:rsidRDefault="00F46A05" w:rsidP="00F46A05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(основной вид деятельности по</w:t>
      </w:r>
    </w:p>
    <w:p w:rsidR="00F46A05" w:rsidRPr="00F46A05" w:rsidRDefault="00F46A05" w:rsidP="00F46A05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F46A05" w:rsidRPr="00F46A05" w:rsidRDefault="00F46A05" w:rsidP="00F46A05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F46A05" w:rsidRPr="00F46A05" w:rsidTr="00F536EF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46A05" w:rsidRPr="00F46A05" w:rsidTr="00F536EF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в.т.ч. за счет кредитных средств</w:t>
            </w: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>(подпись) (расшифровка подписи)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46A05" w:rsidRPr="00F46A05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 после получения субсидии</w:t>
            </w: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начисленной заработной </w:t>
            </w: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работников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846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46A05" w:rsidRPr="00F46A05" w:rsidRDefault="00F46A05" w:rsidP="00F46A0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6A05" w:rsidRPr="00F46A05" w:rsidRDefault="00F46A05" w:rsidP="00F46A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/___________/       _______________________________________________________________/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(Должность)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ab/>
        <w:t>(подпись)                                                      (расшифровка подписи)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6A05" w:rsidRPr="00F46A05" w:rsidRDefault="00F46A05" w:rsidP="00F46A05">
      <w:pPr>
        <w:rPr>
          <w:rFonts w:ascii="Arial" w:eastAsia="Times New Roman" w:hAnsi="Arial" w:cs="Arial"/>
          <w:sz w:val="24"/>
          <w:szCs w:val="24"/>
        </w:rPr>
        <w:sectPr w:rsidR="00F46A05" w:rsidRPr="00F46A05" w:rsidSect="00DA3E5E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 w:rsidRPr="00F46A05">
        <w:rPr>
          <w:rFonts w:ascii="Arial" w:eastAsia="Times New Roman" w:hAnsi="Arial" w:cs="Arial"/>
          <w:sz w:val="24"/>
          <w:szCs w:val="24"/>
        </w:rPr>
        <w:br w:type="page"/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F46A0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развития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F46A05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F46A05" w:rsidRPr="00F46A05" w:rsidTr="00F536EF">
        <w:tc>
          <w:tcPr>
            <w:tcW w:w="8080" w:type="dxa"/>
            <w:gridSpan w:val="2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8080" w:type="dxa"/>
            <w:gridSpan w:val="2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F46A05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F46A05" w:rsidRPr="00F46A05" w:rsidTr="00F536EF">
        <w:tc>
          <w:tcPr>
            <w:tcW w:w="709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rPr>
          <w:trHeight w:val="912"/>
        </w:trPr>
        <w:tc>
          <w:tcPr>
            <w:tcW w:w="709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11.*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13.*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14.*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09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Примечание: Примечание: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F46A05" w:rsidRPr="00F46A05" w:rsidRDefault="00F46A05" w:rsidP="00F46A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** Самозанятый гражданин не заполняет пункты: 11, 13, 14</w:t>
      </w:r>
    </w:p>
    <w:p w:rsidR="00F46A05" w:rsidRPr="00F46A05" w:rsidRDefault="00F46A05" w:rsidP="00F46A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_____________________              _______________       ________________ 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заявителя)                   (подпись)                        (ФИО)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bookmarkStart w:id="3" w:name="_Hlk183526770"/>
      <w:r w:rsidRPr="00F46A0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дорожного сервиса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F46A05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F46A05" w:rsidRPr="00F46A05" w:rsidTr="00F536EF">
        <w:tc>
          <w:tcPr>
            <w:tcW w:w="8080" w:type="dxa"/>
            <w:gridSpan w:val="2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8080" w:type="dxa"/>
            <w:gridSpan w:val="2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9.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F46A05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46A05" w:rsidRPr="00F46A05" w:rsidRDefault="00F46A05" w:rsidP="00F46A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F46A05" w:rsidRPr="00F46A05" w:rsidRDefault="00F46A05" w:rsidP="00F46A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Приложение № 9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F46A05" w:rsidRPr="00F46A05" w:rsidRDefault="00F46A05" w:rsidP="00F46A0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F46A05" w:rsidRPr="00F46A05" w:rsidRDefault="00F46A05" w:rsidP="00F46A05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A05" w:rsidRPr="00F46A05" w:rsidRDefault="00F46A05" w:rsidP="00F46A05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F46A0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производства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F46A05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F46A05" w:rsidRPr="00F46A05" w:rsidRDefault="00F46A05" w:rsidP="00F4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F46A05" w:rsidRPr="00F46A05" w:rsidRDefault="00F46A05" w:rsidP="00F46A05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F46A05" w:rsidRPr="00F46A05" w:rsidTr="00F536EF">
        <w:tc>
          <w:tcPr>
            <w:tcW w:w="7797" w:type="dxa"/>
            <w:gridSpan w:val="3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ind w:left="39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7797" w:type="dxa"/>
            <w:gridSpan w:val="3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F46A05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F46A05" w:rsidRPr="00F46A05" w:rsidRDefault="00F46A05" w:rsidP="00F46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F46A05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 w:val="restart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vMerge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A05" w:rsidRPr="00F46A05" w:rsidTr="00F536EF">
        <w:tc>
          <w:tcPr>
            <w:tcW w:w="567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46A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F46A05" w:rsidRPr="00F46A05" w:rsidRDefault="00F46A05" w:rsidP="00F46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Hlk183699651"/>
      <w:r w:rsidRPr="00F46A05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F46A05" w:rsidRPr="00F46A05" w:rsidRDefault="00F46A05" w:rsidP="00F46A05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+1 – год следующий за годом обращения в администрацию </w:t>
      </w:r>
    </w:p>
    <w:bookmarkEnd w:id="4"/>
    <w:p w:rsidR="00F46A05" w:rsidRPr="00F46A05" w:rsidRDefault="00F46A05" w:rsidP="00F46A05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F46A05" w:rsidRPr="00F46A05" w:rsidRDefault="00F46A05" w:rsidP="00F46A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F46A05" w:rsidRPr="00F46A05" w:rsidRDefault="00F46A05" w:rsidP="00F46A05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A05" w:rsidRPr="00F46A05" w:rsidRDefault="00F46A05" w:rsidP="00F46A05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A05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F6080D" w:rsidRDefault="00F46A05"/>
    <w:sectPr w:rsidR="00F6080D" w:rsidSect="003B372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851" w:left="1134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F46A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F46A0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Pr="005D31CB" w:rsidRDefault="00F46A05">
    <w:pPr>
      <w:pStyle w:val="a3"/>
      <w:jc w:val="center"/>
      <w:rPr>
        <w:rFonts w:ascii="Times New Roman" w:hAnsi="Times New Roman"/>
        <w:sz w:val="18"/>
        <w:szCs w:val="18"/>
      </w:rPr>
    </w:pPr>
  </w:p>
  <w:p w:rsidR="009037C7" w:rsidRDefault="00F46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F46A05">
    <w:pPr>
      <w:pStyle w:val="a3"/>
      <w:jc w:val="center"/>
    </w:pPr>
  </w:p>
  <w:p w:rsidR="009037C7" w:rsidRDefault="00F46A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Pr="005D31CB" w:rsidRDefault="00F46A05">
    <w:pPr>
      <w:pStyle w:val="a3"/>
      <w:jc w:val="center"/>
      <w:rPr>
        <w:rFonts w:ascii="Times New Roman" w:hAnsi="Times New Roman"/>
        <w:sz w:val="18"/>
        <w:szCs w:val="18"/>
      </w:rPr>
    </w:pPr>
  </w:p>
  <w:p w:rsidR="009037C7" w:rsidRDefault="00F46A0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Pr="00E00B5C" w:rsidRDefault="00F46A05">
    <w:pPr>
      <w:pStyle w:val="a3"/>
      <w:jc w:val="center"/>
      <w:rPr>
        <w:sz w:val="24"/>
      </w:rPr>
    </w:pPr>
  </w:p>
  <w:p w:rsidR="009037C7" w:rsidRPr="007D2A87" w:rsidRDefault="00F46A05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F46A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8E"/>
    <w:rsid w:val="0001378E"/>
    <w:rsid w:val="00111BB0"/>
    <w:rsid w:val="00922F7D"/>
    <w:rsid w:val="00F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3D3D-A7BB-4916-971A-F7D7FBCE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A0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46A05"/>
  </w:style>
  <w:style w:type="paragraph" w:customStyle="1" w:styleId="ConsPlusNormal">
    <w:name w:val="ConsPlusNormal"/>
    <w:link w:val="ConsPlusNormal0"/>
    <w:qFormat/>
    <w:rsid w:val="00F46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46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6A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46A0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46A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46A0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A0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A05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46A05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F4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6A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F46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46A05"/>
  </w:style>
  <w:style w:type="paragraph" w:customStyle="1" w:styleId="ConsPlusTitlePage">
    <w:name w:val="ConsPlusTitlePage"/>
    <w:uiPriority w:val="99"/>
    <w:rsid w:val="00F46A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46A05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A0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character" w:customStyle="1" w:styleId="ac">
    <w:name w:val="Текст примечания Знак"/>
    <w:link w:val="ad"/>
    <w:uiPriority w:val="99"/>
    <w:rsid w:val="00F46A05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F46A05"/>
    <w:pPr>
      <w:spacing w:after="0" w:line="240" w:lineRule="auto"/>
    </w:pPr>
    <w:rPr>
      <w:rFonts w:eastAsia="Times New Roman"/>
    </w:rPr>
  </w:style>
  <w:style w:type="character" w:customStyle="1" w:styleId="12">
    <w:name w:val="Текст примечания Знак1"/>
    <w:basedOn w:val="a0"/>
    <w:uiPriority w:val="99"/>
    <w:semiHidden/>
    <w:rsid w:val="00F46A05"/>
    <w:rPr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F46A05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46A0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F46A05"/>
    <w:rPr>
      <w:b/>
      <w:bCs/>
      <w:sz w:val="20"/>
      <w:szCs w:val="20"/>
    </w:rPr>
  </w:style>
  <w:style w:type="paragraph" w:customStyle="1" w:styleId="ConsPlusNonformat">
    <w:name w:val="ConsPlusNonformat"/>
    <w:rsid w:val="00F46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F46A0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F46A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F46A05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F46A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46A0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F46A05"/>
    <w:rPr>
      <w:vertAlign w:val="superscript"/>
    </w:rPr>
  </w:style>
  <w:style w:type="character" w:styleId="af5">
    <w:name w:val="Hyperlink"/>
    <w:uiPriority w:val="99"/>
    <w:unhideWhenUsed/>
    <w:rsid w:val="00F46A05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F46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4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5317</Words>
  <Characters>30309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2025-04-09T09:28:00Z</dcterms:created>
  <dcterms:modified xsi:type="dcterms:W3CDTF">2025-04-09T09:28:00Z</dcterms:modified>
</cp:coreProperties>
</file>