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3B" w:rsidRDefault="0053703B" w:rsidP="0053703B">
      <w:pPr>
        <w:rPr>
          <w:sz w:val="28"/>
          <w:szCs w:val="28"/>
        </w:rPr>
        <w:sectPr w:rsidR="0053703B" w:rsidSect="0053703B">
          <w:pgSz w:w="16838" w:h="11906" w:orient="landscape"/>
          <w:pgMar w:top="851" w:right="1134" w:bottom="893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860"/>
        <w:gridCol w:w="1688"/>
        <w:gridCol w:w="694"/>
        <w:gridCol w:w="618"/>
        <w:gridCol w:w="629"/>
        <w:gridCol w:w="733"/>
        <w:gridCol w:w="1033"/>
        <w:gridCol w:w="1285"/>
        <w:gridCol w:w="1099"/>
        <w:gridCol w:w="1099"/>
        <w:gridCol w:w="1099"/>
        <w:gridCol w:w="1048"/>
      </w:tblGrid>
      <w:tr w:rsidR="0053703B" w:rsidRPr="009C4503" w:rsidTr="00D14811">
        <w:trPr>
          <w:trHeight w:val="300"/>
        </w:trPr>
        <w:tc>
          <w:tcPr>
            <w:tcW w:w="1731" w:type="dxa"/>
            <w:shd w:val="clear" w:color="auto" w:fill="auto"/>
            <w:noWrap/>
            <w:hideMark/>
          </w:tcPr>
          <w:p w:rsidR="0053703B" w:rsidRPr="009C4503" w:rsidRDefault="0053703B" w:rsidP="00D14811">
            <w:bookmarkStart w:id="0" w:name="_GoBack"/>
          </w:p>
        </w:tc>
        <w:tc>
          <w:tcPr>
            <w:tcW w:w="1860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7396" w:type="dxa"/>
            <w:gridSpan w:val="7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Приложение № 1 к постановлению от 13.11.2024 № 90</w:t>
            </w:r>
          </w:p>
          <w:p w:rsidR="0053703B" w:rsidRPr="009C4503" w:rsidRDefault="0053703B" w:rsidP="00D14811">
            <w:r w:rsidRPr="009C4503">
              <w:t> </w:t>
            </w:r>
          </w:p>
          <w:p w:rsidR="0053703B" w:rsidRPr="009C4503" w:rsidRDefault="0053703B" w:rsidP="00D14811">
            <w:r w:rsidRPr="009C4503">
              <w:t> </w:t>
            </w:r>
          </w:p>
        </w:tc>
      </w:tr>
      <w:tr w:rsidR="0053703B" w:rsidRPr="009C4503" w:rsidTr="00D14811">
        <w:trPr>
          <w:trHeight w:val="300"/>
        </w:trPr>
        <w:tc>
          <w:tcPr>
            <w:tcW w:w="1731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860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9337" w:type="dxa"/>
            <w:gridSpan w:val="10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 xml:space="preserve">Приложение  № 1 к муниципальной программе </w:t>
            </w:r>
          </w:p>
        </w:tc>
      </w:tr>
      <w:tr w:rsidR="0053703B" w:rsidRPr="009C4503" w:rsidTr="00D14811">
        <w:trPr>
          <w:trHeight w:val="1020"/>
        </w:trPr>
        <w:tc>
          <w:tcPr>
            <w:tcW w:w="1731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860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8025" w:type="dxa"/>
            <w:gridSpan w:val="8"/>
            <w:shd w:val="clear" w:color="auto" w:fill="auto"/>
            <w:hideMark/>
          </w:tcPr>
          <w:p w:rsidR="0053703B" w:rsidRPr="009C4503" w:rsidRDefault="0053703B" w:rsidP="00D14811">
            <w:r w:rsidRPr="009C4503">
              <w:t>"О мерах по противодействию терроризму, экстремизму и чрезвычайным ситуациям на территории Большеулуйского сельсовета" на 2024 год и плановый период 2025-2027 годов</w:t>
            </w:r>
          </w:p>
        </w:tc>
      </w:tr>
      <w:tr w:rsidR="0053703B" w:rsidRPr="009C4503" w:rsidTr="00D14811">
        <w:trPr>
          <w:trHeight w:val="870"/>
        </w:trPr>
        <w:tc>
          <w:tcPr>
            <w:tcW w:w="1731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222" w:type="dxa"/>
            <w:gridSpan w:val="6"/>
            <w:shd w:val="clear" w:color="auto" w:fill="auto"/>
            <w:hideMark/>
          </w:tcPr>
          <w:p w:rsidR="0053703B" w:rsidRPr="009C4503" w:rsidRDefault="0053703B" w:rsidP="00D14811">
            <w:r w:rsidRPr="009C4503"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/>
        </w:tc>
      </w:tr>
      <w:tr w:rsidR="0053703B" w:rsidRPr="009C4503" w:rsidTr="00D14811">
        <w:trPr>
          <w:trHeight w:val="315"/>
        </w:trPr>
        <w:tc>
          <w:tcPr>
            <w:tcW w:w="1731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860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/>
        </w:tc>
      </w:tr>
      <w:tr w:rsidR="0053703B" w:rsidRPr="009C4503" w:rsidTr="00D14811">
        <w:trPr>
          <w:trHeight w:val="48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Статус        (муниципальная программа, подпрограмма)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Наименование  программы, подпрограммы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Наименование ГРБС</w:t>
            </w:r>
          </w:p>
        </w:tc>
        <w:tc>
          <w:tcPr>
            <w:tcW w:w="2674" w:type="dxa"/>
            <w:gridSpan w:val="4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Код бюджетной классификации</w:t>
            </w:r>
          </w:p>
        </w:tc>
        <w:tc>
          <w:tcPr>
            <w:tcW w:w="6663" w:type="dxa"/>
            <w:gridSpan w:val="6"/>
            <w:shd w:val="clear" w:color="auto" w:fill="auto"/>
            <w:hideMark/>
          </w:tcPr>
          <w:p w:rsidR="0053703B" w:rsidRPr="009C4503" w:rsidRDefault="0053703B" w:rsidP="00D14811">
            <w:r w:rsidRPr="009C4503">
              <w:t>Расходы</w:t>
            </w:r>
          </w:p>
        </w:tc>
      </w:tr>
      <w:tr w:rsidR="0053703B" w:rsidRPr="009C4503" w:rsidTr="00D14811">
        <w:trPr>
          <w:trHeight w:val="31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2674" w:type="dxa"/>
            <w:gridSpan w:val="4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6663" w:type="dxa"/>
            <w:gridSpan w:val="6"/>
            <w:shd w:val="clear" w:color="auto" w:fill="auto"/>
            <w:hideMark/>
          </w:tcPr>
          <w:p w:rsidR="0053703B" w:rsidRPr="009C4503" w:rsidRDefault="0053703B" w:rsidP="00D14811">
            <w:r w:rsidRPr="009C4503">
              <w:t>(</w:t>
            </w:r>
            <w:proofErr w:type="spellStart"/>
            <w:r w:rsidRPr="009C4503">
              <w:t>тыс.руб</w:t>
            </w:r>
            <w:proofErr w:type="spellEnd"/>
            <w:r w:rsidRPr="009C4503">
              <w:t>.)</w:t>
            </w:r>
          </w:p>
        </w:tc>
      </w:tr>
      <w:tr w:rsidR="0053703B" w:rsidRPr="009C4503" w:rsidTr="00D14811">
        <w:trPr>
          <w:trHeight w:val="121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694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ГРБС</w:t>
            </w:r>
          </w:p>
        </w:tc>
        <w:tc>
          <w:tcPr>
            <w:tcW w:w="618" w:type="dxa"/>
            <w:shd w:val="clear" w:color="auto" w:fill="auto"/>
            <w:hideMark/>
          </w:tcPr>
          <w:p w:rsidR="0053703B" w:rsidRPr="009C4503" w:rsidRDefault="0053703B" w:rsidP="00D14811">
            <w:proofErr w:type="spellStart"/>
            <w:r w:rsidRPr="009C4503">
              <w:t>Рз</w:t>
            </w:r>
            <w:proofErr w:type="spellEnd"/>
          </w:p>
        </w:tc>
        <w:tc>
          <w:tcPr>
            <w:tcW w:w="629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ЦСР</w:t>
            </w:r>
          </w:p>
        </w:tc>
        <w:tc>
          <w:tcPr>
            <w:tcW w:w="733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ВР</w:t>
            </w:r>
          </w:p>
        </w:tc>
        <w:tc>
          <w:tcPr>
            <w:tcW w:w="1033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 xml:space="preserve">отчетный </w:t>
            </w:r>
            <w:proofErr w:type="spellStart"/>
            <w:r w:rsidRPr="009C4503">
              <w:t>финансо</w:t>
            </w:r>
            <w:proofErr w:type="spellEnd"/>
            <w:r w:rsidRPr="009C4503">
              <w:t xml:space="preserve">-вый год </w:t>
            </w:r>
          </w:p>
        </w:tc>
        <w:tc>
          <w:tcPr>
            <w:tcW w:w="1285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текущий финансовый год</w:t>
            </w:r>
          </w:p>
        </w:tc>
        <w:tc>
          <w:tcPr>
            <w:tcW w:w="109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первый год планового периода</w:t>
            </w:r>
          </w:p>
        </w:tc>
        <w:tc>
          <w:tcPr>
            <w:tcW w:w="109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второй год планового периода</w:t>
            </w:r>
          </w:p>
        </w:tc>
        <w:tc>
          <w:tcPr>
            <w:tcW w:w="109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третий год планового периода</w:t>
            </w:r>
          </w:p>
        </w:tc>
        <w:tc>
          <w:tcPr>
            <w:tcW w:w="1048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Итого на период</w:t>
            </w:r>
          </w:p>
        </w:tc>
      </w:tr>
      <w:tr w:rsidR="0053703B" w:rsidRPr="009C4503" w:rsidTr="00D14811">
        <w:trPr>
          <w:trHeight w:val="31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694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618" w:type="dxa"/>
            <w:shd w:val="clear" w:color="auto" w:fill="auto"/>
            <w:hideMark/>
          </w:tcPr>
          <w:p w:rsidR="0053703B" w:rsidRPr="009C4503" w:rsidRDefault="0053703B" w:rsidP="00D14811">
            <w:proofErr w:type="spellStart"/>
            <w:r w:rsidRPr="009C4503">
              <w:t>Пр</w:t>
            </w:r>
            <w:proofErr w:type="spellEnd"/>
          </w:p>
        </w:tc>
        <w:tc>
          <w:tcPr>
            <w:tcW w:w="629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733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2023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2024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2025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2026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2027</w:t>
            </w:r>
          </w:p>
        </w:tc>
        <w:tc>
          <w:tcPr>
            <w:tcW w:w="1048" w:type="dxa"/>
            <w:vMerge/>
            <w:shd w:val="clear" w:color="auto" w:fill="auto"/>
            <w:hideMark/>
          </w:tcPr>
          <w:p w:rsidR="0053703B" w:rsidRPr="009C4503" w:rsidRDefault="0053703B" w:rsidP="00D14811"/>
        </w:tc>
      </w:tr>
      <w:tr w:rsidR="0053703B" w:rsidRPr="009C4503" w:rsidTr="00D14811">
        <w:trPr>
          <w:trHeight w:val="108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807</w:t>
            </w:r>
          </w:p>
        </w:tc>
        <w:tc>
          <w:tcPr>
            <w:tcW w:w="618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1101,4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1591,2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3592,6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73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Администрация                    Б-</w:t>
            </w:r>
            <w:proofErr w:type="spellStart"/>
            <w:r w:rsidRPr="009C4503">
              <w:rPr>
                <w:b/>
                <w:bCs/>
              </w:rPr>
              <w:t>Улуйского</w:t>
            </w:r>
            <w:proofErr w:type="spellEnd"/>
            <w:r w:rsidRPr="009C4503">
              <w:rPr>
                <w:b/>
                <w:bCs/>
              </w:rPr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Х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02 0000 0000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435,9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877,6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2213,5</w:t>
            </w:r>
          </w:p>
        </w:tc>
      </w:tr>
      <w:tr w:rsidR="0053703B" w:rsidRPr="009C4503" w:rsidTr="00D14811">
        <w:trPr>
          <w:trHeight w:val="60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Х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02 0000 0000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665,5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713,6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1379,1</w:t>
            </w:r>
          </w:p>
        </w:tc>
      </w:tr>
      <w:tr w:rsidR="0053703B" w:rsidRPr="009C4503" w:rsidTr="00D14811">
        <w:trPr>
          <w:trHeight w:val="99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Мероприятие 1 Программы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 xml:space="preserve">Проведение вспомогательной пропагандистской работы с </w:t>
            </w:r>
            <w:r w:rsidRPr="009C4503">
              <w:lastRenderedPageBreak/>
              <w:t>населением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70,9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350,9</w:t>
            </w:r>
          </w:p>
        </w:tc>
      </w:tr>
      <w:tr w:rsidR="0053703B" w:rsidRPr="009C4503" w:rsidTr="00D14811">
        <w:trPr>
          <w:trHeight w:val="43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4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0314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02 9008 2110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70,9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350,9</w:t>
            </w:r>
          </w:p>
        </w:tc>
      </w:tr>
      <w:tr w:rsidR="0053703B" w:rsidRPr="009C4503" w:rsidTr="00D14811">
        <w:trPr>
          <w:trHeight w:val="37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числе: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1.1.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Приобретение плакатов пропаганды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100,0</w:t>
            </w:r>
          </w:p>
        </w:tc>
      </w:tr>
      <w:tr w:rsidR="0053703B" w:rsidRPr="009C4503" w:rsidTr="00D14811">
        <w:trPr>
          <w:trHeight w:val="46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0314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02 9008 2110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100,0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1.2.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Содержание и установка видеокамер в общественных местах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50,9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250,9</w:t>
            </w:r>
          </w:p>
        </w:tc>
      </w:tr>
      <w:tr w:rsidR="0053703B" w:rsidRPr="009C4503" w:rsidTr="00D14811">
        <w:trPr>
          <w:trHeight w:val="46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0314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02 9008 2110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50,9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250,9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99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Мероприятие 2 Программы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Обеспечение первичных мер пожарной безопасности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 по подпрограмме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330,0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770,00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1790,0</w:t>
            </w:r>
          </w:p>
        </w:tc>
      </w:tr>
      <w:tr w:rsidR="0053703B" w:rsidRPr="009C4503" w:rsidTr="00D14811">
        <w:trPr>
          <w:trHeight w:val="34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0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0310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02 9008 2120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330,0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770,00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1790,0</w:t>
            </w:r>
          </w:p>
        </w:tc>
      </w:tr>
      <w:tr w:rsidR="0053703B" w:rsidRPr="009C4503" w:rsidTr="00D14811">
        <w:trPr>
          <w:trHeight w:val="46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0,0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lastRenderedPageBreak/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числе: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2.1.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Установка защитных минерализованных полос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100,0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700,0</w:t>
            </w:r>
          </w:p>
        </w:tc>
      </w:tr>
      <w:tr w:rsidR="0053703B" w:rsidRPr="009C4503" w:rsidTr="00D14811">
        <w:trPr>
          <w:trHeight w:val="46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0310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02 9008 2120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100,0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150,0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700,0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2.2.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Изготовление планов эвакуации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150,0</w:t>
            </w:r>
          </w:p>
        </w:tc>
      </w:tr>
      <w:tr w:rsidR="0053703B" w:rsidRPr="009C4503" w:rsidTr="00D14811">
        <w:trPr>
          <w:trHeight w:val="46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0310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02 9008 2120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150,0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2.3.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Приобретение пожарных гидрантов, защитных установок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100,0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640,0</w:t>
            </w:r>
          </w:p>
        </w:tc>
      </w:tr>
      <w:tr w:rsidR="0053703B" w:rsidRPr="009C4503" w:rsidTr="00D14811">
        <w:trPr>
          <w:trHeight w:val="46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0310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02 9008 2120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100,0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540,0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640,0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2.4.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Приобретение защитных противопожарных комплектов для добровольных пожарных дружин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100,0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</w:tr>
      <w:tr w:rsidR="0053703B" w:rsidRPr="009C4503" w:rsidTr="00D14811">
        <w:trPr>
          <w:trHeight w:val="46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6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0310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02 9008 2120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100,0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50,0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</w:tr>
      <w:tr w:rsidR="0053703B" w:rsidRPr="009C4503" w:rsidTr="00D14811">
        <w:trPr>
          <w:trHeight w:val="39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990"/>
        </w:trPr>
        <w:tc>
          <w:tcPr>
            <w:tcW w:w="1731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lastRenderedPageBreak/>
              <w:t>Мероприятие 3 Программы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Обеспечение первичных мер пожарной безопасности за счет средств краевого бюджета и бюджета сельсовета</w:t>
            </w:r>
          </w:p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 расходные обязательства по подпрограмме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700,5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751,2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1451,7</w:t>
            </w:r>
          </w:p>
        </w:tc>
      </w:tr>
      <w:tr w:rsidR="0053703B" w:rsidRPr="009C4503" w:rsidTr="00D14811">
        <w:trPr>
          <w:trHeight w:val="420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 по ГРБС: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Х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61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Администрация                    Б-</w:t>
            </w:r>
            <w:proofErr w:type="spellStart"/>
            <w:r w:rsidRPr="009C4503">
              <w:t>Улуйского</w:t>
            </w:r>
            <w:proofErr w:type="spellEnd"/>
            <w:r w:rsidRPr="009C4503">
              <w:t xml:space="preserve"> сельсовета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807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0310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02 900S 4120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35,0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37,6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72,6</w:t>
            </w:r>
          </w:p>
        </w:tc>
      </w:tr>
      <w:tr w:rsidR="0053703B" w:rsidRPr="009C4503" w:rsidTr="00D14811">
        <w:trPr>
          <w:trHeight w:val="645"/>
        </w:trPr>
        <w:tc>
          <w:tcPr>
            <w:tcW w:w="1731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860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68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0310</w:t>
            </w:r>
          </w:p>
        </w:tc>
        <w:tc>
          <w:tcPr>
            <w:tcW w:w="6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02 9007 4120</w:t>
            </w:r>
          </w:p>
        </w:tc>
        <w:tc>
          <w:tcPr>
            <w:tcW w:w="7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240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665,5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713,6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1379,1</w:t>
            </w:r>
          </w:p>
        </w:tc>
      </w:tr>
      <w:bookmarkEnd w:id="0"/>
    </w:tbl>
    <w:p w:rsidR="0053703B" w:rsidRDefault="0053703B" w:rsidP="0053703B">
      <w:pPr>
        <w:rPr>
          <w:sz w:val="28"/>
          <w:szCs w:val="28"/>
        </w:rPr>
      </w:pPr>
    </w:p>
    <w:p w:rsidR="0053703B" w:rsidRDefault="0053703B" w:rsidP="0053703B">
      <w:pPr>
        <w:rPr>
          <w:sz w:val="28"/>
          <w:szCs w:val="28"/>
        </w:rPr>
      </w:pPr>
    </w:p>
    <w:p w:rsidR="0053703B" w:rsidRDefault="0053703B" w:rsidP="0053703B">
      <w:r>
        <w:rPr>
          <w:sz w:val="28"/>
          <w:szCs w:val="28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373"/>
        <w:gridCol w:w="1480"/>
        <w:gridCol w:w="1480"/>
        <w:gridCol w:w="1259"/>
        <w:gridCol w:w="1259"/>
        <w:gridCol w:w="1259"/>
        <w:gridCol w:w="1085"/>
      </w:tblGrid>
      <w:tr w:rsidR="0053703B" w:rsidRPr="009C4503" w:rsidTr="00D14811">
        <w:trPr>
          <w:trHeight w:val="300"/>
        </w:trPr>
        <w:tc>
          <w:tcPr>
            <w:tcW w:w="3326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7938" w:type="dxa"/>
            <w:gridSpan w:val="6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Приложение № 2 к постановлению от 13.11.2024 № 90</w:t>
            </w:r>
          </w:p>
        </w:tc>
      </w:tr>
      <w:tr w:rsidR="0053703B" w:rsidRPr="009C4503" w:rsidTr="00D14811">
        <w:trPr>
          <w:trHeight w:val="300"/>
        </w:trPr>
        <w:tc>
          <w:tcPr>
            <w:tcW w:w="3326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7938" w:type="dxa"/>
            <w:gridSpan w:val="6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Приложение № 2 к подпрограмме</w:t>
            </w:r>
          </w:p>
        </w:tc>
      </w:tr>
      <w:tr w:rsidR="0053703B" w:rsidRPr="009C4503" w:rsidTr="00D14811">
        <w:trPr>
          <w:trHeight w:val="615"/>
        </w:trPr>
        <w:tc>
          <w:tcPr>
            <w:tcW w:w="3326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1367" w:type="dxa"/>
            <w:gridSpan w:val="7"/>
            <w:shd w:val="clear" w:color="auto" w:fill="auto"/>
            <w:hideMark/>
          </w:tcPr>
          <w:p w:rsidR="0053703B" w:rsidRPr="009C4503" w:rsidRDefault="0053703B" w:rsidP="00D14811">
            <w:r w:rsidRPr="009C4503">
              <w:t>"О мерах по противодействию терроризму, экстремизму и чрезвычайным ситуациям на территории Большеулуйского сельсовета" на 2024 год и плановый период 2025-2027 годов</w:t>
            </w:r>
          </w:p>
        </w:tc>
      </w:tr>
      <w:tr w:rsidR="0053703B" w:rsidRPr="009C4503" w:rsidTr="00D14811">
        <w:trPr>
          <w:trHeight w:val="270"/>
        </w:trPr>
        <w:tc>
          <w:tcPr>
            <w:tcW w:w="3326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1367" w:type="dxa"/>
            <w:gridSpan w:val="7"/>
            <w:shd w:val="clear" w:color="auto" w:fill="auto"/>
            <w:noWrap/>
            <w:hideMark/>
          </w:tcPr>
          <w:p w:rsidR="0053703B" w:rsidRPr="009C4503" w:rsidRDefault="0053703B" w:rsidP="00D14811"/>
        </w:tc>
      </w:tr>
      <w:tr w:rsidR="0053703B" w:rsidRPr="009C4503" w:rsidTr="00D14811">
        <w:trPr>
          <w:trHeight w:val="1365"/>
        </w:trPr>
        <w:tc>
          <w:tcPr>
            <w:tcW w:w="11037" w:type="dxa"/>
            <w:gridSpan w:val="5"/>
            <w:shd w:val="clear" w:color="auto" w:fill="auto"/>
            <w:hideMark/>
          </w:tcPr>
          <w:p w:rsidR="0053703B" w:rsidRPr="009C4503" w:rsidRDefault="0053703B" w:rsidP="00D14811">
            <w:r w:rsidRPr="009C4503"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/>
        </w:tc>
        <w:tc>
          <w:tcPr>
            <w:tcW w:w="1100" w:type="dxa"/>
            <w:shd w:val="clear" w:color="auto" w:fill="auto"/>
            <w:noWrap/>
            <w:hideMark/>
          </w:tcPr>
          <w:p w:rsidR="0053703B" w:rsidRPr="009C4503" w:rsidRDefault="0053703B" w:rsidP="00D14811"/>
        </w:tc>
      </w:tr>
      <w:tr w:rsidR="0053703B" w:rsidRPr="009C4503" w:rsidTr="00D14811">
        <w:trPr>
          <w:trHeight w:val="480"/>
        </w:trPr>
        <w:tc>
          <w:tcPr>
            <w:tcW w:w="3326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29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Ответственный исполнитель, соисполнители</w:t>
            </w:r>
          </w:p>
        </w:tc>
        <w:tc>
          <w:tcPr>
            <w:tcW w:w="7938" w:type="dxa"/>
            <w:gridSpan w:val="6"/>
            <w:shd w:val="clear" w:color="auto" w:fill="auto"/>
            <w:hideMark/>
          </w:tcPr>
          <w:p w:rsidR="0053703B" w:rsidRPr="009C4503" w:rsidRDefault="0053703B" w:rsidP="00D14811">
            <w:r w:rsidRPr="009C4503">
              <w:t>Расходы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7938" w:type="dxa"/>
            <w:gridSpan w:val="6"/>
            <w:shd w:val="clear" w:color="auto" w:fill="auto"/>
            <w:hideMark/>
          </w:tcPr>
          <w:p w:rsidR="0053703B" w:rsidRPr="009C4503" w:rsidRDefault="0053703B" w:rsidP="00D14811">
            <w:proofErr w:type="spellStart"/>
            <w:r w:rsidRPr="009C4503">
              <w:t>тыс.руб</w:t>
            </w:r>
            <w:proofErr w:type="spellEnd"/>
            <w:r w:rsidRPr="009C4503">
              <w:t>.</w:t>
            </w:r>
          </w:p>
        </w:tc>
      </w:tr>
      <w:tr w:rsidR="0053703B" w:rsidRPr="009C4503" w:rsidTr="00D14811">
        <w:trPr>
          <w:trHeight w:val="12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502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отчетный финансовый год</w:t>
            </w:r>
          </w:p>
        </w:tc>
        <w:tc>
          <w:tcPr>
            <w:tcW w:w="1502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текущий финансовый год</w:t>
            </w:r>
          </w:p>
        </w:tc>
        <w:tc>
          <w:tcPr>
            <w:tcW w:w="127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первый год планового периода</w:t>
            </w:r>
          </w:p>
        </w:tc>
        <w:tc>
          <w:tcPr>
            <w:tcW w:w="127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второй год планового периода</w:t>
            </w:r>
          </w:p>
        </w:tc>
        <w:tc>
          <w:tcPr>
            <w:tcW w:w="1278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третий год планового периода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Итого на период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2023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2024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2025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2026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2027</w:t>
            </w:r>
          </w:p>
        </w:tc>
        <w:tc>
          <w:tcPr>
            <w:tcW w:w="1100" w:type="dxa"/>
            <w:vMerge/>
            <w:shd w:val="clear" w:color="auto" w:fill="auto"/>
            <w:hideMark/>
          </w:tcPr>
          <w:p w:rsidR="0053703B" w:rsidRPr="009C4503" w:rsidRDefault="0053703B" w:rsidP="00D14811"/>
        </w:tc>
      </w:tr>
      <w:tr w:rsidR="0053703B" w:rsidRPr="009C4503" w:rsidTr="00D14811">
        <w:trPr>
          <w:trHeight w:val="405"/>
        </w:trPr>
        <w:tc>
          <w:tcPr>
            <w:tcW w:w="3326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Всего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1101,4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1591,2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3592,6</w:t>
            </w:r>
          </w:p>
        </w:tc>
      </w:tr>
      <w:tr w:rsidR="0053703B" w:rsidRPr="009C4503" w:rsidTr="00D14811">
        <w:trPr>
          <w:trHeight w:val="37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в том числе: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федеральный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краевой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665,5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713,6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1379,1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внебюджетные источники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58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бюджет Большеулуйского сельсовета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435,9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877,6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300,0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2213,5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юридические лица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60"/>
        </w:trPr>
        <w:tc>
          <w:tcPr>
            <w:tcW w:w="3326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Мероприятие 1: Проведение вспомогательной, пропагандистской работы с населением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70,9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350,9</w:t>
            </w:r>
          </w:p>
        </w:tc>
      </w:tr>
      <w:tr w:rsidR="0053703B" w:rsidRPr="009C4503" w:rsidTr="00D14811">
        <w:trPr>
          <w:trHeight w:val="330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числе: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федеральный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внебюджетные источники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бюджет Большеулуйского сельсовета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70,9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350,9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юридические лица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60"/>
        </w:trPr>
        <w:tc>
          <w:tcPr>
            <w:tcW w:w="3326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lastRenderedPageBreak/>
              <w:t xml:space="preserve">Мероприятие 2: Обеспечение первичных мер пожарной безопасности (установка гидрантов, устройство </w:t>
            </w:r>
            <w:proofErr w:type="spellStart"/>
            <w:r w:rsidRPr="009C4503">
              <w:t>минерализационных</w:t>
            </w:r>
            <w:proofErr w:type="spellEnd"/>
            <w:r w:rsidRPr="009C4503">
              <w:t xml:space="preserve"> </w:t>
            </w:r>
            <w:proofErr w:type="spellStart"/>
            <w:r w:rsidRPr="009C4503">
              <w:t>устройтсвв</w:t>
            </w:r>
            <w:proofErr w:type="spellEnd"/>
            <w:r w:rsidRPr="009C4503">
              <w:t>. Установка защитных устройств (замки, решетки), приобретение планов эвакуации)</w:t>
            </w: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330,0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1790,0</w:t>
            </w:r>
          </w:p>
        </w:tc>
      </w:tr>
      <w:tr w:rsidR="0053703B" w:rsidRPr="009C4503" w:rsidTr="00D14811">
        <w:trPr>
          <w:trHeight w:val="330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числе: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федеральный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внебюджетные источники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бюджет Большеулуйского сельсовета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330,0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770,0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230,0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1790,0</w:t>
            </w:r>
          </w:p>
        </w:tc>
      </w:tr>
      <w:tr w:rsidR="0053703B" w:rsidRPr="009C4503" w:rsidTr="00D14811">
        <w:trPr>
          <w:trHeight w:val="510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юридические лица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60"/>
        </w:trPr>
        <w:tc>
          <w:tcPr>
            <w:tcW w:w="3326" w:type="dxa"/>
            <w:vMerge w:val="restart"/>
            <w:shd w:val="clear" w:color="auto" w:fill="auto"/>
            <w:hideMark/>
          </w:tcPr>
          <w:p w:rsidR="0053703B" w:rsidRPr="009C4503" w:rsidRDefault="0053703B" w:rsidP="00D14811">
            <w:r w:rsidRPr="009C4503">
              <w:t>Мероприятие 3: Обеспечение первичных мер пожарной безопасности</w:t>
            </w:r>
          </w:p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Всего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700,5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751,2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1451,7</w:t>
            </w:r>
          </w:p>
        </w:tc>
      </w:tr>
      <w:tr w:rsidR="0053703B" w:rsidRPr="009C4503" w:rsidTr="00D14811">
        <w:trPr>
          <w:trHeight w:val="330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 том числе: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федеральный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краевой бюджет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665,5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713,6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1379,1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внебюджетные источники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бюджет Большеулуйского сельсовета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35,0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37,6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72,6</w:t>
            </w:r>
          </w:p>
        </w:tc>
      </w:tr>
      <w:tr w:rsidR="0053703B" w:rsidRPr="009C4503" w:rsidTr="00D14811">
        <w:trPr>
          <w:trHeight w:val="315"/>
        </w:trPr>
        <w:tc>
          <w:tcPr>
            <w:tcW w:w="3326" w:type="dxa"/>
            <w:vMerge/>
            <w:shd w:val="clear" w:color="auto" w:fill="auto"/>
            <w:hideMark/>
          </w:tcPr>
          <w:p w:rsidR="0053703B" w:rsidRPr="009C4503" w:rsidRDefault="0053703B" w:rsidP="00D14811"/>
        </w:tc>
        <w:tc>
          <w:tcPr>
            <w:tcW w:w="3429" w:type="dxa"/>
            <w:shd w:val="clear" w:color="auto" w:fill="auto"/>
            <w:hideMark/>
          </w:tcPr>
          <w:p w:rsidR="0053703B" w:rsidRPr="009C4503" w:rsidRDefault="0053703B" w:rsidP="00D14811">
            <w:r w:rsidRPr="009C4503">
              <w:t>юридические лица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53703B" w:rsidRPr="009C4503" w:rsidRDefault="0053703B" w:rsidP="00D14811">
            <w:r w:rsidRPr="009C4503"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53703B" w:rsidRPr="009C4503" w:rsidRDefault="0053703B" w:rsidP="00D14811">
            <w:pPr>
              <w:rPr>
                <w:b/>
                <w:bCs/>
              </w:rPr>
            </w:pPr>
            <w:r w:rsidRPr="009C4503">
              <w:rPr>
                <w:b/>
                <w:bCs/>
              </w:rPr>
              <w:t> </w:t>
            </w:r>
          </w:p>
        </w:tc>
      </w:tr>
    </w:tbl>
    <w:p w:rsidR="0053703B" w:rsidRDefault="0053703B" w:rsidP="0053703B"/>
    <w:p w:rsidR="00F6080D" w:rsidRDefault="0053703B"/>
    <w:sectPr w:rsidR="00F6080D" w:rsidSect="005370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0"/>
    <w:rsid w:val="00111BB0"/>
    <w:rsid w:val="0053703B"/>
    <w:rsid w:val="00922F7D"/>
    <w:rsid w:val="00A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D441"/>
  <w15:chartTrackingRefBased/>
  <w15:docId w15:val="{7AB461BC-803A-4D00-8541-E3A4814B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1081</Words>
  <Characters>6163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2024-11-27T08:33:00Z</dcterms:created>
  <dcterms:modified xsi:type="dcterms:W3CDTF">2024-11-27T08:35:00Z</dcterms:modified>
</cp:coreProperties>
</file>