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F0" w:rsidRDefault="009A73F0" w:rsidP="00EF6BC4">
      <w:pPr>
        <w:pStyle w:val="ConsPlusNormal"/>
      </w:pPr>
    </w:p>
    <w:tbl>
      <w:tblPr>
        <w:tblW w:w="940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82"/>
        <w:gridCol w:w="4718"/>
      </w:tblGrid>
      <w:tr w:rsidR="009A73F0">
        <w:tc>
          <w:tcPr>
            <w:tcW w:w="4682" w:type="dxa"/>
          </w:tcPr>
          <w:p w:rsidR="009A73F0" w:rsidRDefault="009A73F0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18" w:type="dxa"/>
          </w:tcPr>
          <w:p w:rsidR="009A73F0" w:rsidRDefault="00162FE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9A73F0" w:rsidRDefault="00162FE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муниципальной  программе «Развитие образования Большеулуйского района» </w:t>
            </w:r>
          </w:p>
        </w:tc>
      </w:tr>
    </w:tbl>
    <w:p w:rsidR="009A73F0" w:rsidRDefault="009A73F0">
      <w:pPr>
        <w:spacing w:line="276" w:lineRule="auto"/>
      </w:pPr>
    </w:p>
    <w:p w:rsidR="009A73F0" w:rsidRDefault="00162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Паспорт </w:t>
      </w:r>
    </w:p>
    <w:p w:rsidR="009A73F0" w:rsidRDefault="00162F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2 «Развитие кадрового потенциала отрасли» Муниципальной  программы «Развитие образования Большеулуйского района» </w:t>
      </w:r>
    </w:p>
    <w:tbl>
      <w:tblPr>
        <w:tblW w:w="9692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2342"/>
        <w:gridCol w:w="7350"/>
      </w:tblGrid>
      <w:tr w:rsidR="009A73F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кадрового потенциала отрасли</w:t>
            </w:r>
          </w:p>
        </w:tc>
      </w:tr>
      <w:tr w:rsidR="009A73F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</w:pPr>
            <w:r>
              <w:rPr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jc w:val="both"/>
            </w:pPr>
            <w:r>
              <w:rPr>
                <w:sz w:val="26"/>
                <w:szCs w:val="26"/>
              </w:rPr>
              <w:t xml:space="preserve">Развитие образования Большеулуйского района </w:t>
            </w:r>
          </w:p>
        </w:tc>
      </w:tr>
      <w:tr w:rsidR="009A73F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Исполнители мероприятий подпрограммы, 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pStyle w:val="1"/>
              <w:spacing w:line="276" w:lineRule="auto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Отдел образования администрации Большеулуйского района,</w:t>
            </w:r>
          </w:p>
          <w:p w:rsidR="009A73F0" w:rsidRDefault="00162FE6">
            <w:pPr>
              <w:rPr>
                <w:sz w:val="28"/>
              </w:rPr>
            </w:pPr>
            <w:r>
              <w:rPr>
                <w:sz w:val="28"/>
              </w:rPr>
              <w:t>Администрация Большеулуйского района.</w:t>
            </w:r>
          </w:p>
        </w:tc>
      </w:tr>
      <w:tr w:rsidR="009A73F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</w:pPr>
            <w:r>
              <w:rPr>
                <w:sz w:val="26"/>
                <w:szCs w:val="26"/>
              </w:rPr>
              <w:t>Главные распорядители бюджетных средств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pStyle w:val="1"/>
              <w:spacing w:line="276" w:lineRule="auto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Отдел образования администрации Большеулуйского района</w:t>
            </w:r>
          </w:p>
        </w:tc>
      </w:tr>
      <w:tr w:rsidR="009A73F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и задачи  подпрограммы </w:t>
            </w:r>
          </w:p>
          <w:p w:rsidR="009A73F0" w:rsidRDefault="009A73F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:rsidR="009A73F0" w:rsidRDefault="00162FE6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:rsidR="009A73F0" w:rsidRDefault="00162FE6">
            <w:pPr>
              <w:ind w:left="-108"/>
              <w:jc w:val="both"/>
            </w:pPr>
            <w:r>
              <w:rPr>
                <w:sz w:val="26"/>
                <w:szCs w:val="26"/>
              </w:rPr>
              <w:t xml:space="preserve">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</w:t>
            </w:r>
            <w:r>
              <w:rPr>
                <w:rFonts w:eastAsia="Calibri"/>
                <w:sz w:val="26"/>
                <w:szCs w:val="26"/>
              </w:rPr>
              <w:t>привлечения молодых учителей в возрасте до 35 лет</w:t>
            </w:r>
            <w:r>
              <w:rPr>
                <w:sz w:val="26"/>
                <w:szCs w:val="26"/>
              </w:rPr>
              <w:t>;</w:t>
            </w:r>
          </w:p>
          <w:p w:rsidR="009A73F0" w:rsidRDefault="00162FE6">
            <w:pPr>
              <w:ind w:left="-108"/>
              <w:jc w:val="both"/>
            </w:pPr>
            <w:r>
              <w:rPr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 xml:space="preserve"> обеспечить функционирование системы подготовки, переподготовки и повышения </w:t>
            </w:r>
            <w:r>
              <w:rPr>
                <w:sz w:val="26"/>
                <w:szCs w:val="26"/>
              </w:rPr>
              <w:t>квалификации</w:t>
            </w:r>
            <w:r>
              <w:rPr>
                <w:bCs/>
                <w:sz w:val="26"/>
                <w:szCs w:val="26"/>
              </w:rPr>
              <w:t xml:space="preserve"> педагогических кадров и ее модернизацию;</w:t>
            </w:r>
          </w:p>
          <w:p w:rsidR="009A73F0" w:rsidRDefault="00162FE6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обеспечить поддержку лучших педагогических работников</w:t>
            </w:r>
          </w:p>
        </w:tc>
      </w:tr>
      <w:tr w:rsidR="009A73F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индикаторы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ind w:left="-108"/>
              <w:jc w:val="both"/>
            </w:pPr>
            <w:r>
              <w:rPr>
                <w:sz w:val="26"/>
                <w:szCs w:val="26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9A73F0">
        <w:trPr>
          <w:cantSplit/>
          <w:trHeight w:val="738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 w:rsidP="00EF6BC4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2022-202</w:t>
            </w:r>
            <w:r w:rsidR="00EF6BC4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 xml:space="preserve"> годы 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A73F0">
        <w:trPr>
          <w:cantSplit/>
          <w:trHeight w:val="2310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финансируется за счет средств местного бюджета</w:t>
            </w:r>
          </w:p>
          <w:p w:rsidR="009A73F0" w:rsidRDefault="00162FE6">
            <w:pPr>
              <w:spacing w:line="276" w:lineRule="auto"/>
              <w:jc w:val="both"/>
            </w:pPr>
            <w:r>
              <w:rPr>
                <w:sz w:val="26"/>
                <w:szCs w:val="26"/>
              </w:rPr>
              <w:t xml:space="preserve">Объем финансирования подпрограммы составит </w:t>
            </w:r>
            <w:r w:rsidR="00EF6BC4">
              <w:rPr>
                <w:sz w:val="26"/>
                <w:szCs w:val="26"/>
              </w:rPr>
              <w:t xml:space="preserve"> </w:t>
            </w:r>
            <w:r w:rsidR="00C408DC">
              <w:rPr>
                <w:sz w:val="26"/>
                <w:szCs w:val="26"/>
              </w:rPr>
              <w:t>950,8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9A73F0" w:rsidRDefault="00162F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</w:t>
            </w:r>
            <w:r w:rsidR="00B143D2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,</w:t>
            </w:r>
            <w:r w:rsidR="00B143D2">
              <w:rPr>
                <w:sz w:val="26"/>
                <w:szCs w:val="26"/>
              </w:rPr>
              <w:t>4</w:t>
            </w:r>
            <w:r w:rsidR="00EF6BC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рублей; </w:t>
            </w:r>
          </w:p>
          <w:p w:rsidR="009A73F0" w:rsidRDefault="00162F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C408DC">
              <w:rPr>
                <w:sz w:val="26"/>
                <w:szCs w:val="26"/>
              </w:rPr>
              <w:t>189,40</w:t>
            </w:r>
            <w:r>
              <w:rPr>
                <w:sz w:val="26"/>
                <w:szCs w:val="26"/>
              </w:rPr>
              <w:t xml:space="preserve"> тыс. рублей;</w:t>
            </w:r>
          </w:p>
          <w:p w:rsidR="009A73F0" w:rsidRDefault="00EF6B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210,00</w:t>
            </w:r>
            <w:r w:rsidR="00162FE6">
              <w:rPr>
                <w:sz w:val="26"/>
                <w:szCs w:val="26"/>
              </w:rPr>
              <w:t>тыс. рублей.</w:t>
            </w:r>
          </w:p>
          <w:p w:rsidR="009A73F0" w:rsidRDefault="00162FE6" w:rsidP="00EF6B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год – </w:t>
            </w:r>
            <w:r w:rsidR="00EF6BC4">
              <w:rPr>
                <w:sz w:val="26"/>
                <w:szCs w:val="26"/>
              </w:rPr>
              <w:t>210</w:t>
            </w:r>
            <w:r>
              <w:rPr>
                <w:sz w:val="26"/>
                <w:szCs w:val="26"/>
              </w:rPr>
              <w:t>,0</w:t>
            </w:r>
            <w:r w:rsidR="00EF6BC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рублей.</w:t>
            </w:r>
          </w:p>
          <w:p w:rsidR="00EF6BC4" w:rsidRDefault="00EF6BC4" w:rsidP="00EF6B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210,00 тыс. рублей.</w:t>
            </w:r>
          </w:p>
        </w:tc>
      </w:tr>
      <w:tr w:rsidR="009A73F0">
        <w:trPr>
          <w:cantSplit/>
          <w:trHeight w:val="2025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Система организации </w:t>
            </w:r>
            <w:proofErr w:type="gramStart"/>
            <w:r>
              <w:rPr>
                <w:iCs/>
                <w:sz w:val="26"/>
                <w:szCs w:val="26"/>
              </w:rPr>
              <w:t>контроля за</w:t>
            </w:r>
            <w:proofErr w:type="gramEnd"/>
            <w:r>
              <w:rPr>
                <w:iCs/>
                <w:sz w:val="26"/>
                <w:szCs w:val="26"/>
              </w:rPr>
              <w:t xml:space="preserve"> исполнением подпрограммы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0" w:rsidRDefault="00162FE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Большеулуйского района</w:t>
            </w:r>
          </w:p>
          <w:p w:rsidR="009A73F0" w:rsidRDefault="009A73F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9A73F0" w:rsidRDefault="009A73F0">
      <w:pPr>
        <w:rPr>
          <w:sz w:val="28"/>
          <w:szCs w:val="28"/>
        </w:rPr>
      </w:pPr>
    </w:p>
    <w:p w:rsidR="009A73F0" w:rsidRDefault="00162FE6">
      <w:pPr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разделы программы</w:t>
      </w:r>
    </w:p>
    <w:p w:rsidR="009A73F0" w:rsidRDefault="009A73F0">
      <w:pPr>
        <w:jc w:val="center"/>
        <w:rPr>
          <w:sz w:val="28"/>
          <w:szCs w:val="28"/>
        </w:rPr>
      </w:pPr>
    </w:p>
    <w:p w:rsidR="009A73F0" w:rsidRDefault="00162FE6">
      <w:pPr>
        <w:jc w:val="center"/>
      </w:pPr>
      <w:r>
        <w:rPr>
          <w:sz w:val="28"/>
          <w:szCs w:val="28"/>
        </w:rPr>
        <w:t xml:space="preserve">2.1. Постановка общерайонной проблемы </w:t>
      </w:r>
    </w:p>
    <w:p w:rsidR="009A73F0" w:rsidRDefault="00162FE6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 обоснование необходимости разработки подпрограммы</w:t>
      </w:r>
    </w:p>
    <w:p w:rsidR="009A73F0" w:rsidRDefault="009A73F0">
      <w:pPr>
        <w:jc w:val="center"/>
        <w:rPr>
          <w:rFonts w:cs="Arial"/>
          <w:sz w:val="28"/>
          <w:szCs w:val="28"/>
        </w:rPr>
      </w:pPr>
    </w:p>
    <w:p w:rsidR="009A73F0" w:rsidRDefault="00162F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условий предоставления качественного образования, соответствующего потребностям общества, на всех его уровнях является наличие кадров, обеспечивающих такое качество образования. </w:t>
      </w:r>
    </w:p>
    <w:p w:rsidR="009A73F0" w:rsidRDefault="00162F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общего образования по состоянию на 01.09.202</w:t>
      </w:r>
      <w:r w:rsidR="002A01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работает 1</w:t>
      </w:r>
      <w:r w:rsidR="00682EA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работников, в системе дошкольного образования 3</w:t>
      </w:r>
      <w:r w:rsidR="006D44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</w:p>
    <w:p w:rsidR="009A73F0" w:rsidRDefault="0016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о влиянии качества преподавания на уровень успеваемости школьников показывает, что качество труда учителя влияет</w:t>
      </w:r>
      <w:r>
        <w:rPr>
          <w:sz w:val="28"/>
          <w:szCs w:val="28"/>
        </w:rPr>
        <w:br/>
        <w:t xml:space="preserve">на успеваемость учеников в большей степени, чем другие факторы, в том числе социально-экономический статус семьи, уровень оснащенности школы и пр. </w:t>
      </w:r>
    </w:p>
    <w:p w:rsidR="009A73F0" w:rsidRDefault="00162F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педагогов, строгость отбора кадров для преподавательской деятельности и статус педагога – ключевые цели кадровой политики.</w:t>
      </w:r>
    </w:p>
    <w:p w:rsidR="009A73F0" w:rsidRDefault="00162F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рынок педагогического труда сегодня разбалансирован. Спрос на педагогические кадры, то есть потребность образовательных учреждений в специалистах разного профиля педагогической деятельности и квалификации, удовлетворяется недостаточно.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Работать в школы и детские сады идут 35-39% от числа всех выпускников педагогических специальностей очной формы обучения, из них: 71% (около 235 человек в год) – в учреждения г. Красноярска, 11% (36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человек) и 18% (58 человек) – в учреждения, расположенные в малых городах края и сельских территориях региона соответственно.</w:t>
      </w:r>
    </w:p>
    <w:p w:rsidR="009A73F0" w:rsidRDefault="00162F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система образования не является привлекательной для молодых специалистов, которые не видят в этой отрасли перспектив роста и развития, возможности решить материальные проблемы, например, приобрести жилье. </w:t>
      </w:r>
    </w:p>
    <w:p w:rsidR="009A73F0" w:rsidRDefault="00162FE6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педагогическими кадрами характеризуется трудностями в удержании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как опытных, </w:t>
      </w:r>
      <w:r>
        <w:rPr>
          <w:rFonts w:ascii="Times New Roman" w:hAnsi="Times New Roman" w:cs="Times New Roman"/>
          <w:sz w:val="28"/>
          <w:szCs w:val="28"/>
        </w:rPr>
        <w:t>так и молодых специалистов в профессии.</w:t>
      </w:r>
    </w:p>
    <w:p w:rsidR="009A73F0" w:rsidRDefault="00162FE6">
      <w:pPr>
        <w:ind w:firstLine="709"/>
        <w:jc w:val="both"/>
      </w:pPr>
      <w:proofErr w:type="gramStart"/>
      <w:r>
        <w:rPr>
          <w:sz w:val="28"/>
          <w:szCs w:val="28"/>
        </w:rPr>
        <w:t>Современные требования к квалификации руководителей и заместителей руководителей образовательных учреждений предполагают:</w:t>
      </w:r>
      <w:r>
        <w:rPr>
          <w:rFonts w:ascii="Calibri" w:hAnsi="Calibri" w:cs="Calibri"/>
        </w:rPr>
        <w:t xml:space="preserve"> </w:t>
      </w:r>
      <w:r>
        <w:rPr>
          <w:sz w:val="28"/>
          <w:szCs w:val="28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</w:t>
      </w:r>
      <w:proofErr w:type="gramEnd"/>
      <w:r>
        <w:rPr>
          <w:sz w:val="28"/>
          <w:szCs w:val="28"/>
        </w:rPr>
        <w:t xml:space="preserve"> не </w:t>
      </w:r>
      <w:r w:rsidR="00504C59">
        <w:rPr>
          <w:sz w:val="28"/>
          <w:szCs w:val="28"/>
        </w:rPr>
        <w:t>менее 5 лет. На данный момент 100% р</w:t>
      </w:r>
      <w:r>
        <w:rPr>
          <w:sz w:val="28"/>
          <w:szCs w:val="28"/>
        </w:rPr>
        <w:t>уководителей имеют высшее педагогическое образование и 100% имеют  переподготовку по направлению «Менеджмент в образовании».</w:t>
      </w:r>
    </w:p>
    <w:p w:rsidR="009A73F0" w:rsidRDefault="0016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изменения модели организации и финансирования системы повышения квалификации работников образования, необходимо обеспечить подготовку руководителей образовательных учреждений к умению обоснованно, целенаправленно управлять качеством кадрового потенциала учреждения,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</w:r>
    </w:p>
    <w:p w:rsidR="009A73F0" w:rsidRDefault="0016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образования. </w:t>
      </w:r>
    </w:p>
    <w:p w:rsidR="009A73F0" w:rsidRDefault="0016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системы дошкольного образования,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учреждений. </w:t>
      </w:r>
    </w:p>
    <w:p w:rsidR="009A73F0" w:rsidRDefault="0016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Педагоги, работающие в детском саду должны иметь специальное педагогическое образование или пройти переподготовку в области дошкольного образования. </w:t>
      </w:r>
    </w:p>
    <w:p w:rsidR="009A73F0" w:rsidRDefault="0016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</w:t>
      </w:r>
      <w:r>
        <w:rPr>
          <w:sz w:val="28"/>
          <w:szCs w:val="28"/>
        </w:rPr>
        <w:lastRenderedPageBreak/>
        <w:t xml:space="preserve">нацеленному на формирование у школьников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компетентностей.</w:t>
      </w:r>
    </w:p>
    <w:p w:rsidR="009A73F0" w:rsidRDefault="00162FE6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Проблемой кадрового обеспечения образовательных учреждений является рассогласование предложения педагогических кадров и вакансий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конкретных ОУ. Острой проблемой является нехватка жилья для педагогических работников.</w:t>
      </w:r>
    </w:p>
    <w:p w:rsidR="009A73F0" w:rsidRDefault="00162FE6">
      <w:pPr>
        <w:ind w:firstLine="709"/>
        <w:jc w:val="both"/>
      </w:pPr>
      <w:r>
        <w:rPr>
          <w:sz w:val="28"/>
          <w:szCs w:val="28"/>
        </w:rPr>
        <w:t xml:space="preserve">В течение последних 5 лет в общеобразовательных учреждениях района  число долгосрочных предметных вакансий сохраняется в количестве от 2 до 5 вакансий. </w:t>
      </w:r>
      <w:proofErr w:type="gramStart"/>
      <w:r>
        <w:rPr>
          <w:sz w:val="28"/>
          <w:szCs w:val="28"/>
        </w:rPr>
        <w:t>Учитывая ряд факторов, можно прогнозировать увеличение числа вакансий учителей в ближайшие 3-5 лет:</w:t>
      </w:r>
      <w:proofErr w:type="gramEnd"/>
    </w:p>
    <w:p w:rsidR="009A73F0" w:rsidRDefault="00162FE6">
      <w:pPr>
        <w:ind w:firstLine="709"/>
        <w:jc w:val="both"/>
      </w:pPr>
      <w:r>
        <w:rPr>
          <w:sz w:val="28"/>
          <w:szCs w:val="28"/>
        </w:rPr>
        <w:t xml:space="preserve">положительная динамика числа учителей пенсионного возраста. </w:t>
      </w:r>
      <w:r>
        <w:rPr>
          <w:sz w:val="28"/>
          <w:szCs w:val="28"/>
        </w:rPr>
        <w:br/>
        <w:t>За последние 3 года количество учителей-пенсионеров увеличилось на 5,1% (на 6 человек) и составляет на сегодняшний день 16,6% (23 человека) от общего числа педагогов;</w:t>
      </w:r>
    </w:p>
    <w:p w:rsidR="009A73F0" w:rsidRDefault="00162FE6">
      <w:pPr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>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продукта, осваивать новые культурные практики, проявлять активность в разных областях социального взаимодействия.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Социокультурная компетентность педагога, является сегодня необходимым условием качественного образования детей и молодежи. Однако анализ состояния дел относительно наличия у педагогов потребности наращивания социокультурного потенциала, а также позиционирования себя в качестве творческой индивидуальности, способной вовлечь в социокультурную деятельность своих учеников показывает, что они практически не проявляются. В тоже время в новой модели аттестации: в региональных требованиях к профессиональной деятельности работников образования  введен такой параметр как эффективный социальный опыт педагога, представленный в его профессиональных действиях, средствах, гражданской и </w:t>
      </w:r>
      <w:proofErr w:type="spellStart"/>
      <w:r>
        <w:rPr>
          <w:sz w:val="28"/>
          <w:szCs w:val="28"/>
        </w:rPr>
        <w:t>оргуправленческой</w:t>
      </w:r>
      <w:proofErr w:type="spellEnd"/>
      <w:r>
        <w:rPr>
          <w:sz w:val="28"/>
          <w:szCs w:val="28"/>
        </w:rPr>
        <w:t xml:space="preserve"> компетентности.</w:t>
      </w:r>
    </w:p>
    <w:p w:rsidR="009A73F0" w:rsidRDefault="00162F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создание таких институций, где педагог в пространстве свободного времени, цивилизованного досуга в формате самоосуществления обретает социально эффективный опыт, отсутствие которого сейчас не позволяет ему профессионально решать задачу развития подобной компетентности у его воспитанников. </w:t>
      </w:r>
    </w:p>
    <w:p w:rsidR="009A73F0" w:rsidRDefault="00162FE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образования, а также создание инфраструктуры вовлечения в социально-культурную деятельность, активизировать деятельность в сфере образования социальных институтов, которые ориентированы на обогащение социокультурной среды местного сообщества, а также формирование позитивного образа образования. </w:t>
      </w:r>
      <w:proofErr w:type="gramEnd"/>
    </w:p>
    <w:p w:rsidR="009A73F0" w:rsidRDefault="00162FE6">
      <w:pPr>
        <w:ind w:firstLine="709"/>
        <w:jc w:val="both"/>
      </w:pPr>
      <w:r>
        <w:rPr>
          <w:sz w:val="28"/>
          <w:szCs w:val="28"/>
        </w:rPr>
        <w:lastRenderedPageBreak/>
        <w:t xml:space="preserve">Кроме того, в связи с тем, что вопросы воспитания детей входят в число ключевых общенациональных приоритетов, возникает необходимость повышения квалификации классных руководителей, учителей-предметников современным технологиям воспитания.  </w:t>
      </w:r>
    </w:p>
    <w:p w:rsidR="009A73F0" w:rsidRDefault="009A73F0">
      <w:pPr>
        <w:spacing w:line="276" w:lineRule="auto"/>
        <w:ind w:firstLine="708"/>
        <w:jc w:val="both"/>
        <w:rPr>
          <w:sz w:val="28"/>
          <w:szCs w:val="28"/>
        </w:rPr>
      </w:pPr>
    </w:p>
    <w:p w:rsidR="009A73F0" w:rsidRDefault="00162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2.2. Основная цель, задачи </w:t>
      </w:r>
    </w:p>
    <w:p w:rsidR="009A73F0" w:rsidRDefault="00162FE6">
      <w:pPr>
        <w:jc w:val="center"/>
        <w:rPr>
          <w:sz w:val="28"/>
          <w:szCs w:val="28"/>
        </w:rPr>
      </w:pPr>
      <w:r>
        <w:rPr>
          <w:sz w:val="28"/>
          <w:szCs w:val="28"/>
        </w:rPr>
        <w:t>и сроки выполнения подпрограммы,</w:t>
      </w:r>
      <w:r>
        <w:rPr>
          <w:sz w:val="28"/>
          <w:szCs w:val="28"/>
        </w:rPr>
        <w:br/>
        <w:t>целевые индикаторы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является: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</w:p>
    <w:p w:rsidR="009A73F0" w:rsidRDefault="00162FE6">
      <w:pPr>
        <w:numPr>
          <w:ilvl w:val="0"/>
          <w:numId w:val="2"/>
        </w:numPr>
        <w:tabs>
          <w:tab w:val="clear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6"/>
        </w:rPr>
        <w:t>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</w:r>
      <w:r>
        <w:rPr>
          <w:sz w:val="28"/>
          <w:szCs w:val="28"/>
        </w:rPr>
        <w:t>;</w:t>
      </w:r>
    </w:p>
    <w:p w:rsidR="009A73F0" w:rsidRDefault="00162FE6">
      <w:pPr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rPr>
          <w:bCs/>
          <w:sz w:val="28"/>
          <w:szCs w:val="28"/>
        </w:rPr>
        <w:t xml:space="preserve">обеспечить функционирование системы подготовки, переподготовки и повышения </w:t>
      </w:r>
      <w:r>
        <w:rPr>
          <w:sz w:val="28"/>
          <w:szCs w:val="28"/>
        </w:rPr>
        <w:t>квалификации</w:t>
      </w:r>
      <w:r>
        <w:rPr>
          <w:bCs/>
          <w:sz w:val="28"/>
          <w:szCs w:val="28"/>
        </w:rPr>
        <w:t xml:space="preserve"> педагогических кадров и ее модернизация</w:t>
      </w:r>
      <w:r>
        <w:rPr>
          <w:sz w:val="28"/>
          <w:szCs w:val="28"/>
        </w:rPr>
        <w:t>;</w:t>
      </w:r>
    </w:p>
    <w:p w:rsidR="009A73F0" w:rsidRDefault="00162FE6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поддержку лучших педагогических работников. 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подпрограммы: 2022-202</w:t>
      </w:r>
      <w:r w:rsidR="00DD09E4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>
        <w:t>.</w:t>
      </w:r>
    </w:p>
    <w:p w:rsidR="009A73F0" w:rsidRDefault="00162FE6">
      <w:pPr>
        <w:ind w:firstLine="851"/>
        <w:jc w:val="both"/>
      </w:pPr>
      <w:r>
        <w:rPr>
          <w:sz w:val="28"/>
          <w:szCs w:val="28"/>
        </w:rPr>
        <w:t xml:space="preserve">Перечень целевых индикаторов подпрограммы представлен </w:t>
      </w:r>
      <w:r>
        <w:rPr>
          <w:sz w:val="28"/>
          <w:szCs w:val="28"/>
        </w:rPr>
        <w:br/>
        <w:t>в приложении № 1 к подпрограмме 2 «Развитие кадрового потенциала отрасли».</w:t>
      </w:r>
    </w:p>
    <w:p w:rsidR="009A73F0" w:rsidRDefault="00162FE6">
      <w:pPr>
        <w:jc w:val="center"/>
      </w:pPr>
      <w:r>
        <w:rPr>
          <w:sz w:val="28"/>
          <w:szCs w:val="28"/>
        </w:rPr>
        <w:t>2.3. Мероприятия подпрограммы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подпрограммы представлены в приложении № 2 </w:t>
      </w:r>
      <w:r>
        <w:rPr>
          <w:sz w:val="28"/>
          <w:szCs w:val="28"/>
        </w:rPr>
        <w:br/>
        <w:t>к подпрограмме 2 «Развитие кадрового потенциала отрасли».</w:t>
      </w:r>
    </w:p>
    <w:p w:rsidR="009A73F0" w:rsidRDefault="009A73F0">
      <w:pPr>
        <w:jc w:val="center"/>
        <w:rPr>
          <w:sz w:val="28"/>
          <w:szCs w:val="28"/>
        </w:rPr>
      </w:pPr>
    </w:p>
    <w:p w:rsidR="009A73F0" w:rsidRDefault="009A73F0">
      <w:pPr>
        <w:jc w:val="center"/>
        <w:rPr>
          <w:sz w:val="28"/>
          <w:szCs w:val="28"/>
        </w:rPr>
      </w:pPr>
    </w:p>
    <w:p w:rsidR="009A73F0" w:rsidRDefault="00162FE6">
      <w:pPr>
        <w:jc w:val="center"/>
      </w:pPr>
      <w:r>
        <w:rPr>
          <w:sz w:val="28"/>
          <w:szCs w:val="28"/>
        </w:rPr>
        <w:t>2.4. Механизм реализации подпрограммы</w:t>
      </w:r>
    </w:p>
    <w:p w:rsidR="009A73F0" w:rsidRDefault="00162FE6">
      <w:pPr>
        <w:ind w:firstLine="851"/>
        <w:jc w:val="both"/>
      </w:pPr>
      <w:r>
        <w:rPr>
          <w:sz w:val="28"/>
          <w:szCs w:val="28"/>
        </w:rPr>
        <w:t>Реализация подпрограммы осуществляется Отделом образования администрации Большеулуйского района, подведомственными ему образовательными учреждениями в рамках действующего законодательства.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Мероприятие 2.1.1 Выделение средств на частичное или полное возмещение оплаты аренды жилой площади на территории района для специалистов - педагогических работников (молодые специалисты, специалисты, приехавшие в район из иных муниципалитетов) осуществляется на основании заявления претендента на имя начальника отдела образования с предоставлением копии договора аренды, сведений о расчетном счете, куда следует перечислять денежные средства.</w:t>
      </w:r>
      <w:proofErr w:type="gramEnd"/>
      <w:r>
        <w:rPr>
          <w:sz w:val="28"/>
          <w:szCs w:val="28"/>
        </w:rPr>
        <w:t xml:space="preserve"> Отдел образования в течение 7 рабочих дней издает приказ о возмещении оплаты аренды специалисту. Возмещение производится на основании документа, подтверждающего арендную плату. Началом осуществления возмещения </w:t>
      </w:r>
      <w:r>
        <w:rPr>
          <w:sz w:val="28"/>
          <w:szCs w:val="28"/>
        </w:rPr>
        <w:lastRenderedPageBreak/>
        <w:t>считается месяц подачи заявления. Возмещение арендной платы не должно превышать 2000 рублей в месяц.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денежная выплата молодым специалиста в возрасте до 35 лет выплачивается не позднее 5 лет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 ими первого среднего профессионального или высшего образования, заключившим трудовой договор с образовательной организацией и работающим на педагогической должности.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декабря. К заявлению прилагаются документы: копия приказа о приеме на работу, копия диплома о  профессиональном образовании.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получателя. Размер выплаты составляет 5750,00 рублей с учетом подоходного налога.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Мероприятие 2.2.1. для обеспечения реализации данного мероприятия отделом образования ежегодно заключаются муниципальные контракты в соответствии с 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 на приобретение канцелярских товаров для обеспечения деятельности 12 районных методических объединений, 1 районного методического совета;</w:t>
      </w:r>
      <w:proofErr w:type="gramEnd"/>
      <w:r>
        <w:rPr>
          <w:sz w:val="28"/>
          <w:szCs w:val="28"/>
        </w:rPr>
        <w:t xml:space="preserve"> на оплату обучающих семинаров для педагогов; оплату аренды помещений для проведения семинаров, конференций; оплату аренды оборудования, необходимого для проведения семинаров, конференций; оплату за проведение культурно-массовых мероприятий к профессиональным праздникам</w:t>
      </w:r>
      <w:r w:rsidR="00F01B7D">
        <w:rPr>
          <w:sz w:val="28"/>
          <w:szCs w:val="28"/>
        </w:rPr>
        <w:t>.</w:t>
      </w:r>
    </w:p>
    <w:p w:rsidR="00F01B7D" w:rsidRDefault="00F01B7D">
      <w:pPr>
        <w:ind w:firstLine="851"/>
        <w:jc w:val="both"/>
        <w:rPr>
          <w:sz w:val="28"/>
          <w:szCs w:val="28"/>
        </w:rPr>
      </w:pPr>
      <w:r w:rsidRPr="00F01B7D">
        <w:rPr>
          <w:sz w:val="28"/>
          <w:szCs w:val="28"/>
        </w:rPr>
        <w:t xml:space="preserve">Отдел образования ежегодно публикует в СМИ поздравления с праздниками: День воспитателя, День учителя, День пожилого человека и др. Оплата за публикацию в СМИ осуществляется путем заключения муниципальных контрактов в соответствии с действующим законодательством.  </w:t>
      </w:r>
    </w:p>
    <w:p w:rsidR="009A73F0" w:rsidRDefault="00162FE6">
      <w:pPr>
        <w:ind w:firstLine="851"/>
        <w:jc w:val="both"/>
      </w:pPr>
      <w:r>
        <w:rPr>
          <w:sz w:val="28"/>
          <w:szCs w:val="28"/>
        </w:rPr>
        <w:t>Мероприятие 2.3.1. Ежегодно в июле-августе отделом образования определяются списки педагогов, имеющих высокие показатели в учебно-воспитательном процессе и внедряющих инновационные технологии в обучении школьников, за прошедший учебный год. Отделом образования заключается муниципальный контракт на приобретение подарков данным педагогам, а так же педагогам, которые в прошедшем учебном году   отработали в отрасли 25, 30, 35, 40, 45</w:t>
      </w:r>
      <w:r w:rsidR="00837D72">
        <w:rPr>
          <w:sz w:val="28"/>
          <w:szCs w:val="28"/>
        </w:rPr>
        <w:t xml:space="preserve">, </w:t>
      </w:r>
      <w:r w:rsidR="00837D72" w:rsidRPr="00F01B7D">
        <w:rPr>
          <w:sz w:val="28"/>
          <w:szCs w:val="28"/>
        </w:rPr>
        <w:t>50</w:t>
      </w:r>
      <w:r w:rsidRPr="00837D7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лет, и педагогам - юбилярам в возрасте 50, 55, 60, 65 лет и т.д. Награждение педагогов проводится ежегодно на районном августовском педагогическом совете и/или на праздничных мероприятиях, посвященных Дню учителя или Дню воспитателя. 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этапы конкурсов профессионального мастерства - Учитель года и Воспитатель года  проводятся в соответствии с </w:t>
      </w:r>
      <w:r>
        <w:rPr>
          <w:sz w:val="28"/>
          <w:szCs w:val="28"/>
        </w:rPr>
        <w:lastRenderedPageBreak/>
        <w:t>Положениями  о конкурсе «Учитель года (воспитатель года)», утверждаемыми отделом образования администрации Большеулуйского района.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призов победителям и  поощрительных подарков участникам ежегодно отделом образования заключается муниципальный контракт. По итогам конкурса в соответствии с протоколом конкурсной комиссии призы и подарки вручаются победителям в заключительный день конкурса. </w:t>
      </w:r>
    </w:p>
    <w:p w:rsidR="009A73F0" w:rsidRDefault="00162FE6">
      <w:pPr>
        <w:ind w:firstLine="851"/>
        <w:jc w:val="both"/>
      </w:pPr>
      <w:r>
        <w:rPr>
          <w:bCs/>
          <w:sz w:val="28"/>
          <w:szCs w:val="28"/>
        </w:rPr>
        <w:t xml:space="preserve">Выплата </w:t>
      </w:r>
      <w:proofErr w:type="spellStart"/>
      <w:r>
        <w:rPr>
          <w:bCs/>
          <w:sz w:val="28"/>
          <w:szCs w:val="28"/>
        </w:rPr>
        <w:t>единоразового</w:t>
      </w:r>
      <w:proofErr w:type="spellEnd"/>
      <w:r>
        <w:rPr>
          <w:bCs/>
          <w:sz w:val="28"/>
          <w:szCs w:val="28"/>
        </w:rPr>
        <w:t xml:space="preserve"> денежного поощрения осуществляется участникам региональных этапов конкурсов «Учитель года»</w:t>
      </w:r>
      <w:r w:rsidR="00F01B7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«Воспитатель года»</w:t>
      </w:r>
      <w:r w:rsidR="00F01B7D">
        <w:rPr>
          <w:bCs/>
          <w:sz w:val="28"/>
          <w:szCs w:val="28"/>
        </w:rPr>
        <w:t xml:space="preserve">, «Дефектолог года», Психолог года» </w:t>
      </w:r>
      <w:r>
        <w:rPr>
          <w:bCs/>
          <w:sz w:val="28"/>
          <w:szCs w:val="28"/>
        </w:rPr>
        <w:t xml:space="preserve"> на основании приказа отдела образования. Сумма денежного поощрения ежегодно определятся исходя из имеющихся лимитов. 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муниципальных контрактов для реализации мероприятия 2.3.1. на приобретение товаров, работ и услуг и оплата расходов по ним осуществляется в соответствии с Федеральным законом №44-ФЗ от 5 апреля 2013 года «О контрактной системе в сфере закупок товаров, работ, услуг для обеспечения государственных и муниципальных нужд».</w:t>
      </w:r>
    </w:p>
    <w:p w:rsidR="009A73F0" w:rsidRDefault="00162FE6">
      <w:pPr>
        <w:ind w:firstLine="851"/>
        <w:jc w:val="both"/>
      </w:pPr>
      <w:r>
        <w:rPr>
          <w:sz w:val="28"/>
          <w:szCs w:val="28"/>
        </w:rPr>
        <w:t xml:space="preserve">Реализация подпрограммы «Развитие кадрового потенциала отрасли» обеспечивается специалистами Отдела образования администрации Большеулуйского района, которые разрабатывают и реализовывают программные мероприятия, целевое и эффективное использование бюджетных средств. </w:t>
      </w:r>
    </w:p>
    <w:p w:rsidR="009A73F0" w:rsidRDefault="00162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реализуется за счёт средств муниципального бюджета, выделенных в установленном порядке. Объёмы финансирования  настоящей подпрограммы  носят прогнозный характер и подлежат ежегодному уточнению при формировании проектов бюджета на очередной финансовый год, исходя из возможностей муниципального бюджета. </w:t>
      </w:r>
    </w:p>
    <w:p w:rsidR="009A73F0" w:rsidRDefault="00162FE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пунктам подпрограммных мероприятий допускается перераспределение денежных средств, выделенных на реализацию данной подпрограммы. </w:t>
      </w:r>
    </w:p>
    <w:p w:rsidR="009A73F0" w:rsidRDefault="009A73F0">
      <w:pPr>
        <w:jc w:val="center"/>
        <w:rPr>
          <w:sz w:val="28"/>
          <w:szCs w:val="28"/>
        </w:rPr>
      </w:pPr>
    </w:p>
    <w:p w:rsidR="009A73F0" w:rsidRDefault="00162FE6">
      <w:pPr>
        <w:jc w:val="center"/>
      </w:pPr>
      <w:r>
        <w:rPr>
          <w:sz w:val="28"/>
          <w:szCs w:val="28"/>
        </w:rPr>
        <w:t xml:space="preserve">2.5. Управление подпрограммой </w:t>
      </w:r>
    </w:p>
    <w:p w:rsidR="009A73F0" w:rsidRDefault="00162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выполнения</w:t>
      </w:r>
    </w:p>
    <w:p w:rsidR="009A73F0" w:rsidRDefault="00162F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реализацией подпрограммы осуществляет отдел образования администрации Большеулуйского района.</w:t>
      </w:r>
    </w:p>
    <w:p w:rsidR="009A73F0" w:rsidRDefault="00162F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Соисполнители подпрограммы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9A73F0" w:rsidRDefault="00162F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хода реализации подпрограммы осуществляют отдел образования администрации Большеулуйского района.</w:t>
      </w:r>
    </w:p>
    <w:p w:rsidR="009A73F0" w:rsidRDefault="00162FE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Отдел образования администрации Большеулуйского района для обеспечения мониторинга и анализа хода реализации программы </w:t>
      </w:r>
      <w:r>
        <w:rPr>
          <w:rFonts w:eastAsia="Calibri"/>
          <w:sz w:val="28"/>
          <w:szCs w:val="28"/>
          <w:lang w:eastAsia="en-US"/>
        </w:rPr>
        <w:lastRenderedPageBreak/>
        <w:t xml:space="preserve">организует ведение и представление отчетности 2 раза в год (за 6 мес. и год). </w:t>
      </w:r>
    </w:p>
    <w:p w:rsidR="009A73F0" w:rsidRDefault="00162F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Соисполнители программы по запросу отдела образования представляют информацию о реализации подпрограмм и отдельных мероприятий программы, курируемых соисполнителем в сроки и по форме, установленной ответственным исполнителем программы. </w:t>
      </w:r>
    </w:p>
    <w:p w:rsidR="009A73F0" w:rsidRDefault="00162F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Отчеты о реализации программы представляются  отделом образования для согласования финансовых показателей в </w:t>
      </w:r>
      <w:r>
        <w:rPr>
          <w:sz w:val="28"/>
          <w:szCs w:val="28"/>
          <w:shd w:val="clear" w:color="auto" w:fill="FFFFFF"/>
        </w:rPr>
        <w:t>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9A73F0" w:rsidRDefault="00162F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6 мес. до 10 августа текущего года, </w:t>
      </w:r>
    </w:p>
    <w:p w:rsidR="009A73F0" w:rsidRDefault="00162F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9A73F0" w:rsidRDefault="00162FE6">
      <w:pPr>
        <w:ind w:firstLine="709"/>
        <w:jc w:val="both"/>
        <w:outlineLvl w:val="1"/>
      </w:pPr>
      <w:r>
        <w:rPr>
          <w:sz w:val="28"/>
          <w:szCs w:val="28"/>
        </w:rPr>
        <w:t xml:space="preserve">Годовой отчет о ходе реализации подпрограммы формируется отделом образования с учетом информации, полученной от соисполнителей, и направляется на согласование соисполнителям на бумажных носителях и в электронном виде. </w:t>
      </w:r>
    </w:p>
    <w:p w:rsidR="009A73F0" w:rsidRDefault="00162FE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Согласованный соисполнителями годовой отчет представляется в  Отдел экономического планирования Администрации Большеулуйского.</w:t>
      </w:r>
    </w:p>
    <w:p w:rsidR="009A73F0" w:rsidRDefault="009A73F0">
      <w:pPr>
        <w:ind w:firstLine="851"/>
        <w:jc w:val="both"/>
        <w:rPr>
          <w:sz w:val="28"/>
          <w:szCs w:val="28"/>
        </w:rPr>
      </w:pPr>
    </w:p>
    <w:p w:rsidR="009A73F0" w:rsidRDefault="00162FE6">
      <w:pPr>
        <w:jc w:val="center"/>
      </w:pPr>
      <w:r>
        <w:rPr>
          <w:sz w:val="28"/>
          <w:szCs w:val="28"/>
        </w:rPr>
        <w:t>2.6. Оценка социально-экономической эффективности</w:t>
      </w:r>
    </w:p>
    <w:p w:rsidR="009A73F0" w:rsidRDefault="00162FE6">
      <w:pPr>
        <w:ind w:firstLine="851"/>
        <w:jc w:val="both"/>
      </w:pPr>
      <w:r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Большеулуйского района.</w:t>
      </w:r>
    </w:p>
    <w:p w:rsidR="009A73F0" w:rsidRDefault="00162FE6">
      <w:pPr>
        <w:ind w:firstLine="851"/>
        <w:jc w:val="both"/>
      </w:pPr>
      <w:r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sectPr w:rsidR="009A73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37" w:bottom="1134" w:left="1985" w:header="709" w:footer="709" w:gutter="0"/>
      <w:cols w:space="1701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5BEEDF9" w16cex:dateUtc="2022-08-04T06:06:30Z"/>
  <w16cex:commentExtensible w16cex:durableId="09B75974" w16cex:dateUtc="2022-08-04T09:11:07Z"/>
  <w16cex:commentExtensible w16cex:durableId="3C006F2C" w16cex:dateUtc="2022-08-04T16:19:02Z"/>
  <w16cex:commentExtensible w16cex:durableId="556537AB" w16cex:dateUtc="2022-08-04T06:05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5BEEDF9"/>
  <w16cid:commentId w16cid:paraId="00000002" w16cid:durableId="09B75974"/>
  <w16cid:commentId w16cid:paraId="00000003" w16cid:durableId="3C006F2C"/>
  <w16cid:commentId w16cid:paraId="00000004" w16cid:durableId="556537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7B" w:rsidRDefault="00AF647B">
      <w:r>
        <w:separator/>
      </w:r>
    </w:p>
  </w:endnote>
  <w:endnote w:type="continuationSeparator" w:id="0">
    <w:p w:rsidR="00AF647B" w:rsidRDefault="00A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F0" w:rsidRDefault="009A73F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F0" w:rsidRDefault="009A73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7B" w:rsidRDefault="00AF647B">
      <w:r>
        <w:separator/>
      </w:r>
    </w:p>
  </w:footnote>
  <w:footnote w:type="continuationSeparator" w:id="0">
    <w:p w:rsidR="00AF647B" w:rsidRDefault="00AF6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F0" w:rsidRDefault="00162FE6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73F0" w:rsidRDefault="00162FE6">
                          <w:pPr>
                            <w:pStyle w:val="aa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2A016A">
                            <w:rPr>
                              <w:rStyle w:val="af7"/>
                              <w:noProof/>
                            </w:rPr>
                            <w:t>8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9A73F0" w:rsidRDefault="00162FE6">
                    <w:pPr>
                      <w:pStyle w:val="aa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2A016A">
                      <w:rPr>
                        <w:rStyle w:val="af7"/>
                        <w:noProof/>
                      </w:rPr>
                      <w:t>8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F0" w:rsidRDefault="009A73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A5C"/>
    <w:multiLevelType w:val="hybridMultilevel"/>
    <w:tmpl w:val="29224F6C"/>
    <w:lvl w:ilvl="0" w:tplc="3C3405F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72091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CC0E4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2F080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18C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012A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740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7828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DA66A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B55C81"/>
    <w:multiLevelType w:val="hybridMultilevel"/>
    <w:tmpl w:val="0BC84AAE"/>
    <w:lvl w:ilvl="0" w:tplc="8E6401EA">
      <w:start w:val="1"/>
      <w:numFmt w:val="decimal"/>
      <w:lvlText w:val="%1."/>
      <w:lvlJc w:val="left"/>
      <w:pPr>
        <w:tabs>
          <w:tab w:val="num" w:pos="0"/>
        </w:tabs>
        <w:ind w:left="1991" w:hanging="1140"/>
      </w:pPr>
      <w:rPr>
        <w:sz w:val="28"/>
        <w:szCs w:val="28"/>
      </w:rPr>
    </w:lvl>
    <w:lvl w:ilvl="1" w:tplc="E702B9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6A4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CEFF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9045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CE1C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06A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CCC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687E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F0"/>
    <w:rsid w:val="00056A4D"/>
    <w:rsid w:val="000C6630"/>
    <w:rsid w:val="00162FE6"/>
    <w:rsid w:val="002A016A"/>
    <w:rsid w:val="00504C59"/>
    <w:rsid w:val="00647E90"/>
    <w:rsid w:val="00682EA7"/>
    <w:rsid w:val="006D4442"/>
    <w:rsid w:val="00837D72"/>
    <w:rsid w:val="009A73F0"/>
    <w:rsid w:val="00AA1796"/>
    <w:rsid w:val="00AF33AA"/>
    <w:rsid w:val="00AF647B"/>
    <w:rsid w:val="00B143D2"/>
    <w:rsid w:val="00C408DC"/>
    <w:rsid w:val="00C91FFA"/>
    <w:rsid w:val="00DD09E4"/>
    <w:rsid w:val="00EF6BC4"/>
    <w:rsid w:val="00F0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f7">
    <w:name w:val="page number"/>
    <w:basedOn w:val="a0"/>
  </w:style>
  <w:style w:type="character" w:customStyle="1" w:styleId="12">
    <w:name w:val="Заголовок 1 Знак"/>
    <w:qFormat/>
    <w:rPr>
      <w:sz w:val="28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c">
    <w:name w:val="Normal (Web)"/>
    <w:basedOn w:val="a"/>
    <w:qFormat/>
    <w:pPr>
      <w:spacing w:after="280" w:line="288" w:lineRule="auto"/>
      <w:jc w:val="both"/>
    </w:pPr>
    <w:rPr>
      <w:rFonts w:ascii="Tahoma" w:hAnsi="Tahoma" w:cs="Tahoma"/>
      <w:color w:val="404040"/>
      <w:sz w:val="20"/>
      <w:szCs w:val="20"/>
    </w:rPr>
  </w:style>
  <w:style w:type="paragraph" w:styleId="afd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eastAsia="Times New Roman" w:cs="Times New Roman"/>
      <w:sz w:val="20"/>
      <w:szCs w:val="20"/>
      <w:lang w:val="ru-RU" w:bidi="ar-SA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f7">
    <w:name w:val="page number"/>
    <w:basedOn w:val="a0"/>
  </w:style>
  <w:style w:type="character" w:customStyle="1" w:styleId="12">
    <w:name w:val="Заголовок 1 Знак"/>
    <w:qFormat/>
    <w:rPr>
      <w:sz w:val="28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c">
    <w:name w:val="Normal (Web)"/>
    <w:basedOn w:val="a"/>
    <w:qFormat/>
    <w:pPr>
      <w:spacing w:after="280" w:line="288" w:lineRule="auto"/>
      <w:jc w:val="both"/>
    </w:pPr>
    <w:rPr>
      <w:rFonts w:ascii="Tahoma" w:hAnsi="Tahoma" w:cs="Tahoma"/>
      <w:color w:val="404040"/>
      <w:sz w:val="20"/>
      <w:szCs w:val="20"/>
    </w:rPr>
  </w:style>
  <w:style w:type="paragraph" w:styleId="afd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eastAsia="Times New Roman" w:cs="Times New Roman"/>
      <w:sz w:val="20"/>
      <w:szCs w:val="20"/>
      <w:lang w:val="ru-RU" w:bidi="ar-SA"/>
    </w:r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SPecialiST RePack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Почта</dc:creator>
  <cp:keywords> </cp:keywords>
  <dc:description/>
  <cp:lastModifiedBy>User</cp:lastModifiedBy>
  <cp:revision>114</cp:revision>
  <cp:lastPrinted>2024-03-12T04:43:00Z</cp:lastPrinted>
  <dcterms:created xsi:type="dcterms:W3CDTF">2013-09-25T12:32:00Z</dcterms:created>
  <dcterms:modified xsi:type="dcterms:W3CDTF">2024-03-12T04:44:00Z</dcterms:modified>
  <dc:language>en-US</dc:language>
</cp:coreProperties>
</file>