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 предоставления субсидий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281309" w:rsidRPr="005A4C59" w:rsidTr="00685282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81309" w:rsidRPr="005A4C59" w:rsidTr="00685282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1309" w:rsidRPr="005A4C59" w:rsidTr="00685282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1309" w:rsidRPr="005A4C59" w:rsidTr="00685282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1309" w:rsidRPr="005A4C59" w:rsidTr="00685282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281309" w:rsidRPr="005A4C59" w:rsidTr="00685282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5A4C59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1309" w:rsidSect="005A4C59">
          <w:pgSz w:w="16838" w:h="11906" w:orient="landscape"/>
          <w:pgMar w:top="1701" w:right="851" w:bottom="851" w:left="851" w:header="510" w:footer="510" w:gutter="0"/>
          <w:cols w:space="708"/>
          <w:titlePg/>
          <w:docGrid w:linePitch="360"/>
        </w:sect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4C59">
        <w:rPr>
          <w:rFonts w:ascii="Times New Roman" w:hAnsi="Times New Roman"/>
          <w:sz w:val="28"/>
          <w:szCs w:val="28"/>
          <w:lang w:eastAsia="ru-RU"/>
        </w:rPr>
        <w:t>Большеулуйского района ________________________ Ф.И.О.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09" w:rsidRPr="00464BB7" w:rsidRDefault="00281309" w:rsidP="00281309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281309" w:rsidRPr="00464BB7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309" w:rsidRPr="00464BB7" w:rsidRDefault="00281309" w:rsidP="00281309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1309" w:rsidRPr="00F80B91" w:rsidRDefault="00281309" w:rsidP="00281309">
      <w:pPr>
        <w:pStyle w:val="ab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281309" w:rsidRPr="00F80B91" w:rsidRDefault="00281309" w:rsidP="00281309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о деятельности получателя субсидии</w:t>
      </w:r>
    </w:p>
    <w:p w:rsidR="00281309" w:rsidRPr="00F80B91" w:rsidRDefault="00281309" w:rsidP="00281309">
      <w:pPr>
        <w:pStyle w:val="ab"/>
        <w:jc w:val="center"/>
        <w:rPr>
          <w:sz w:val="28"/>
          <w:szCs w:val="28"/>
        </w:rPr>
      </w:pPr>
    </w:p>
    <w:p w:rsidR="00281309" w:rsidRDefault="00281309" w:rsidP="00281309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281309" w:rsidRPr="00F80B91" w:rsidRDefault="00281309" w:rsidP="00281309">
      <w:pPr>
        <w:pStyle w:val="ab"/>
        <w:jc w:val="center"/>
        <w:rPr>
          <w:sz w:val="28"/>
          <w:szCs w:val="28"/>
        </w:rPr>
      </w:pPr>
    </w:p>
    <w:p w:rsidR="00281309" w:rsidRPr="00464BB7" w:rsidRDefault="00281309" w:rsidP="00281309">
      <w:pPr>
        <w:pStyle w:val="ab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281309" w:rsidRPr="00464BB7" w:rsidRDefault="00281309" w:rsidP="00281309">
      <w:pPr>
        <w:pStyle w:val="ab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   </w:t>
      </w:r>
      <w:r w:rsidRPr="00464BB7">
        <w:t>(дата оказания поддержки)</w:t>
      </w:r>
    </w:p>
    <w:p w:rsidR="00281309" w:rsidRPr="00464BB7" w:rsidRDefault="00281309" w:rsidP="00281309">
      <w:pPr>
        <w:pStyle w:val="ab"/>
      </w:pPr>
      <w:r w:rsidRPr="00464BB7">
        <w:t>предпринимательства)</w:t>
      </w:r>
    </w:p>
    <w:p w:rsidR="00281309" w:rsidRPr="00464BB7" w:rsidRDefault="00281309" w:rsidP="00281309">
      <w:pPr>
        <w:pStyle w:val="ab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281309" w:rsidRPr="00464BB7" w:rsidRDefault="00281309" w:rsidP="00281309">
      <w:pPr>
        <w:pStyle w:val="ab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</w:t>
      </w:r>
      <w:r w:rsidRPr="00464BB7">
        <w:t>(отчетный год)</w:t>
      </w:r>
    </w:p>
    <w:p w:rsidR="00281309" w:rsidRPr="00464BB7" w:rsidRDefault="00281309" w:rsidP="00281309">
      <w:pPr>
        <w:pStyle w:val="ab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281309" w:rsidRPr="00464BB7" w:rsidRDefault="00281309" w:rsidP="00281309">
      <w:pPr>
        <w:pStyle w:val="ab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281309" w:rsidRPr="00464BB7" w:rsidRDefault="00281309" w:rsidP="00281309">
      <w:pPr>
        <w:pStyle w:val="ab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281309" w:rsidRPr="00464BB7" w:rsidRDefault="00281309" w:rsidP="00281309">
      <w:pPr>
        <w:pStyle w:val="ab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   </w:t>
      </w:r>
      <w:r w:rsidRPr="00464BB7">
        <w:t>(основной вид деятельности по</w:t>
      </w:r>
    </w:p>
    <w:p w:rsidR="00281309" w:rsidRDefault="00281309" w:rsidP="00281309">
      <w:pPr>
        <w:pStyle w:val="ab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281309" w:rsidRPr="00464BB7" w:rsidRDefault="00281309" w:rsidP="00281309">
      <w:pPr>
        <w:pStyle w:val="ab"/>
        <w:ind w:left="5670" w:hanging="5670"/>
      </w:pPr>
    </w:p>
    <w:p w:rsidR="00281309" w:rsidRPr="00464BB7" w:rsidRDefault="00281309" w:rsidP="00281309">
      <w:pPr>
        <w:pStyle w:val="ab"/>
      </w:pPr>
    </w:p>
    <w:p w:rsidR="00281309" w:rsidRPr="00F80B91" w:rsidRDefault="00281309" w:rsidP="00281309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281309" w:rsidRPr="00464BB7" w:rsidRDefault="00281309" w:rsidP="00281309">
      <w:pPr>
        <w:pStyle w:val="ab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281309" w:rsidRPr="00464BB7" w:rsidTr="00685282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</w:p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281309" w:rsidRPr="00F80B91" w:rsidRDefault="00281309" w:rsidP="00685282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281309" w:rsidRPr="00464BB7" w:rsidTr="00685282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464BB7" w:rsidRDefault="00281309" w:rsidP="00685282">
            <w:pPr>
              <w:pStyle w:val="ab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464BB7" w:rsidRDefault="00281309" w:rsidP="00685282">
            <w:pPr>
              <w:pStyle w:val="ab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464BB7" w:rsidRDefault="00281309" w:rsidP="00685282">
            <w:pPr>
              <w:pStyle w:val="ab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464BB7" w:rsidRDefault="00281309" w:rsidP="00685282">
            <w:pPr>
              <w:pStyle w:val="ab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09" w:rsidRPr="00464BB7" w:rsidRDefault="00281309" w:rsidP="00685282">
            <w:pPr>
              <w:pStyle w:val="ab"/>
              <w:jc w:val="center"/>
            </w:pPr>
            <w:r>
              <w:t>5</w:t>
            </w:r>
          </w:p>
        </w:tc>
      </w:tr>
      <w:tr w:rsidR="00281309" w:rsidRPr="00464BB7" w:rsidTr="00685282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</w:pPr>
          </w:p>
          <w:p w:rsidR="00281309" w:rsidRPr="00464BB7" w:rsidRDefault="00281309" w:rsidP="00685282">
            <w:pPr>
              <w:pStyle w:val="ab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Pr="00CF7348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Pr="00CF7348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</w:tr>
      <w:tr w:rsidR="00281309" w:rsidRPr="00464BB7" w:rsidTr="00685282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</w:pPr>
          </w:p>
          <w:p w:rsidR="00281309" w:rsidRPr="00464BB7" w:rsidRDefault="00281309" w:rsidP="00685282">
            <w:pPr>
              <w:pStyle w:val="ab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Pr="00CF7348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Pr="00CF7348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</w:tr>
      <w:tr w:rsidR="00281309" w:rsidRPr="00464BB7" w:rsidTr="00685282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</w:pPr>
          </w:p>
          <w:p w:rsidR="00281309" w:rsidRDefault="00281309" w:rsidP="00685282">
            <w:pPr>
              <w:pStyle w:val="ab"/>
              <w:jc w:val="center"/>
            </w:pPr>
          </w:p>
          <w:p w:rsidR="00281309" w:rsidRDefault="00281309" w:rsidP="00685282">
            <w:pPr>
              <w:pStyle w:val="ab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инвестиций, в.т.ч. за счет кредитных средств</w:t>
            </w:r>
          </w:p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</w:p>
          <w:p w:rsidR="00281309" w:rsidRDefault="00281309" w:rsidP="0068528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9" w:rsidRPr="00464BB7" w:rsidRDefault="00281309" w:rsidP="00685282">
            <w:pPr>
              <w:pStyle w:val="ab"/>
            </w:pPr>
          </w:p>
        </w:tc>
      </w:tr>
    </w:tbl>
    <w:p w:rsidR="00281309" w:rsidRDefault="00281309" w:rsidP="00281309">
      <w:pPr>
        <w:pStyle w:val="ab"/>
      </w:pPr>
    </w:p>
    <w:p w:rsidR="00281309" w:rsidRPr="00464BB7" w:rsidRDefault="00281309" w:rsidP="00281309">
      <w:pPr>
        <w:pStyle w:val="ab"/>
      </w:pPr>
    </w:p>
    <w:p w:rsidR="00281309" w:rsidRDefault="00281309" w:rsidP="00281309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281309" w:rsidRDefault="00281309" w:rsidP="00281309">
      <w:pPr>
        <w:pStyle w:val="ab"/>
        <w:rPr>
          <w:sz w:val="24"/>
          <w:szCs w:val="24"/>
        </w:rPr>
      </w:pPr>
    </w:p>
    <w:p w:rsidR="00281309" w:rsidRPr="00464BB7" w:rsidRDefault="00281309" w:rsidP="00281309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281309" w:rsidRPr="00464BB7" w:rsidRDefault="00281309" w:rsidP="00281309">
      <w:pPr>
        <w:pStyle w:val="ab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  <w:t>(подпись) (расшифровка подписи)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309" w:rsidRDefault="00281309" w:rsidP="00281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81309" w:rsidSect="005A4C59">
          <w:pgSz w:w="11906" w:h="16838"/>
          <w:pgMar w:top="851" w:right="1701" w:bottom="851" w:left="851" w:header="510" w:footer="510" w:gutter="0"/>
          <w:cols w:space="708"/>
          <w:titlePg/>
          <w:docGrid w:linePitch="360"/>
        </w:sectPr>
      </w:pP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28130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281309" w:rsidRPr="00DA3E5E" w:rsidRDefault="00281309" w:rsidP="00281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1309" w:rsidRDefault="00281309" w:rsidP="00281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309" w:rsidRDefault="00281309" w:rsidP="00281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281309" w:rsidRDefault="00281309" w:rsidP="00281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1309" w:rsidRPr="009F4BDB" w:rsidRDefault="00281309" w:rsidP="0028130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281309" w:rsidRDefault="00281309" w:rsidP="00281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281309" w:rsidRPr="009F4BDB" w:rsidTr="00685282">
        <w:tc>
          <w:tcPr>
            <w:tcW w:w="846" w:type="dxa"/>
          </w:tcPr>
          <w:p w:rsidR="00281309" w:rsidRPr="009F4BDB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281309" w:rsidRPr="009F4BDB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281309" w:rsidRPr="009F4BDB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281309" w:rsidRPr="009F4BDB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281309" w:rsidRPr="009F4BDB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281309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281309" w:rsidRDefault="00281309" w:rsidP="006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281309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281309" w:rsidRPr="00516027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281309" w:rsidRPr="00516027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281309" w:rsidRPr="00C571AC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281309" w:rsidRPr="00C571AC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RPr="009F4BDB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1" w:type="dxa"/>
          </w:tcPr>
          <w:p w:rsidR="00281309" w:rsidRPr="00C571AC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:rsidR="00281309" w:rsidRPr="00C571AC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C571AC" w:rsidRDefault="00281309" w:rsidP="006852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09" w:rsidTr="00685282">
        <w:tc>
          <w:tcPr>
            <w:tcW w:w="846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309" w:rsidRPr="00B84AC5" w:rsidRDefault="00281309" w:rsidP="0068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09" w:rsidRDefault="00281309" w:rsidP="00281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309" w:rsidRDefault="00281309" w:rsidP="00281309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281309" w:rsidRDefault="00281309" w:rsidP="00281309">
      <w:pPr>
        <w:pStyle w:val="ab"/>
        <w:rPr>
          <w:sz w:val="24"/>
          <w:szCs w:val="24"/>
        </w:rPr>
      </w:pPr>
    </w:p>
    <w:p w:rsidR="00281309" w:rsidRPr="00464BB7" w:rsidRDefault="00281309" w:rsidP="00281309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/___________/</w:t>
      </w:r>
      <w:r>
        <w:rPr>
          <w:sz w:val="24"/>
          <w:szCs w:val="24"/>
        </w:rPr>
        <w:t xml:space="preserve">       </w:t>
      </w:r>
      <w:r w:rsidRPr="00464BB7">
        <w:rPr>
          <w:sz w:val="24"/>
          <w:szCs w:val="24"/>
        </w:rPr>
        <w:t>_______________________________________________________________/</w:t>
      </w:r>
    </w:p>
    <w:p w:rsidR="00281309" w:rsidRPr="00464BB7" w:rsidRDefault="00281309" w:rsidP="00281309">
      <w:pPr>
        <w:pStyle w:val="ab"/>
      </w:pPr>
      <w:r>
        <w:t xml:space="preserve">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   </w:t>
      </w:r>
      <w:r w:rsidRPr="00464BB7">
        <w:tab/>
        <w:t>(подпись)</w:t>
      </w:r>
      <w:r>
        <w:t xml:space="preserve">                                                     </w:t>
      </w:r>
      <w:r w:rsidRPr="00464BB7">
        <w:t xml:space="preserve"> (расшифровка подписи)</w:t>
      </w:r>
    </w:p>
    <w:p w:rsidR="00281309" w:rsidRPr="005A4C59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309" w:rsidRDefault="00281309" w:rsidP="0028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81309" w:rsidSect="00DA3E5E">
          <w:headerReference w:type="default" r:id="rId6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 7</w:t>
      </w:r>
      <w:r w:rsidRPr="00146498">
        <w:rPr>
          <w:rFonts w:ascii="Times New Roman" w:eastAsia="Calibri" w:hAnsi="Times New Roman"/>
          <w:bCs/>
          <w:sz w:val="24"/>
          <w:szCs w:val="24"/>
        </w:rPr>
        <w:br/>
        <w:t>к порядку предоставления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субсидий малого и среднего предпринимательства на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>реализацию инвестиционных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проектов в приоритетных отраслях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40"/>
        </w:rPr>
      </w:pPr>
      <w:r w:rsidRPr="00146498">
        <w:rPr>
          <w:rFonts w:ascii="Times New Roman" w:eastAsia="Calibri" w:hAnsi="Times New Roman"/>
          <w:bCs/>
          <w:sz w:val="40"/>
          <w:szCs w:val="40"/>
        </w:rPr>
        <w:t xml:space="preserve">Макет бизнес-плана </w:t>
      </w:r>
      <w:r w:rsidRPr="00146498">
        <w:rPr>
          <w:rFonts w:ascii="Times New Roman" w:eastAsia="Calibri" w:hAnsi="Times New Roman"/>
          <w:sz w:val="40"/>
          <w:szCs w:val="40"/>
        </w:rPr>
        <w:t xml:space="preserve">инвестиционного проекта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40"/>
          <w:szCs w:val="40"/>
        </w:rPr>
      </w:pPr>
    </w:p>
    <w:p w:rsidR="00281309" w:rsidRPr="00146498" w:rsidRDefault="00281309" w:rsidP="002813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  <w:r w:rsidRPr="00146498">
        <w:rPr>
          <w:rFonts w:ascii="Times New Roman" w:hAnsi="Times New Roman"/>
          <w:bCs/>
          <w:sz w:val="34"/>
          <w:szCs w:val="34"/>
          <w:lang w:eastAsia="ru-RU"/>
        </w:rPr>
        <w:t>Текстовая часть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1. Резюме </w:t>
      </w:r>
      <w:r w:rsidRPr="00146498">
        <w:rPr>
          <w:rFonts w:ascii="Times New Roman" w:eastAsia="Calibri" w:hAnsi="Times New Roman"/>
          <w:b/>
          <w:sz w:val="28"/>
        </w:rPr>
        <w:t xml:space="preserve">инвестиционного проекта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t>(далее – проект):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1.3. Описание продукции (услуг), предполагаемой к производству </w:t>
      </w:r>
      <w:r w:rsidRPr="00146498">
        <w:rPr>
          <w:rFonts w:ascii="Times New Roman" w:eastAsia="Calibri" w:hAnsi="Times New Roman"/>
          <w:sz w:val="28"/>
          <w:szCs w:val="28"/>
        </w:rPr>
        <w:br/>
        <w:t>и реализации по проекту (далее – продукция (услуга), и технологии производства.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146498">
        <w:rPr>
          <w:rFonts w:ascii="Times New Roman" w:eastAsia="Calibri" w:hAnsi="Times New Roman"/>
          <w:sz w:val="28"/>
          <w:szCs w:val="28"/>
        </w:rPr>
        <w:br/>
        <w:t>и тому подобное), то указать их.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2. Информация о заявителе: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местонахождение;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за счет каких видов, направлений деятельности и хозяйственных операций получена выручка заявителя за предшествующий дате подачи заявки </w:t>
      </w:r>
      <w:r w:rsidRPr="00146498">
        <w:rPr>
          <w:rFonts w:ascii="Times New Roman" w:eastAsia="Calibri" w:hAnsi="Times New Roman"/>
          <w:sz w:val="28"/>
          <w:szCs w:val="28"/>
        </w:rPr>
        <w:lastRenderedPageBreak/>
        <w:t>на предоставление государственной поддержки год и отчетные периоды текущего года.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2.3. Финансовое состояние заявителя: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за 3 года, предшествующие подаче заявки на участие в </w:t>
      </w:r>
      <w:r w:rsidRPr="00146498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146498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3. Анализ положения дел в отрасли: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3.1. Описание продукции (услуги), включая ее назначение </w:t>
      </w:r>
      <w:r w:rsidRPr="00146498">
        <w:rPr>
          <w:rFonts w:ascii="Times New Roman" w:eastAsia="Calibri" w:hAnsi="Times New Roman"/>
          <w:sz w:val="28"/>
          <w:szCs w:val="28"/>
        </w:rPr>
        <w:br/>
        <w:t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3.4. Ожидаемая доля заявителя в производстве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в Красноярском крае, стране.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4. Инвестиционный план: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146498">
        <w:rPr>
          <w:rFonts w:ascii="Times New Roman" w:eastAsia="Calibri" w:hAnsi="Times New Roman"/>
          <w:sz w:val="28"/>
          <w:szCs w:val="28"/>
        </w:rPr>
        <w:br/>
        <w:t>с поквартальной разбивкой (таблица 1).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146498">
        <w:rPr>
          <w:rFonts w:ascii="Times New Roman" w:eastAsia="Calibri" w:hAnsi="Times New Roman"/>
          <w:sz w:val="28"/>
          <w:szCs w:val="28"/>
        </w:rPr>
        <w:br/>
        <w:t>и производственного оборудования.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5. План производства: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46498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5.5. Структура себестоимости производимой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и ее изменение в результате реализации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6. План маркетинга: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146498">
        <w:rPr>
          <w:rFonts w:ascii="Times New Roman" w:eastAsia="Calibri" w:hAnsi="Times New Roman"/>
          <w:sz w:val="28"/>
          <w:szCs w:val="28"/>
        </w:rPr>
        <w:br/>
        <w:t>с потенциальными покупателями.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146498">
        <w:rPr>
          <w:rFonts w:ascii="Times New Roman" w:eastAsia="Calibri" w:hAnsi="Times New Roman"/>
          <w:sz w:val="28"/>
          <w:szCs w:val="28"/>
        </w:rPr>
        <w:br/>
        <w:t>и другими посредниками.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146498">
        <w:rPr>
          <w:rFonts w:ascii="Times New Roman" w:eastAsia="Calibri" w:hAnsi="Times New Roman"/>
          <w:sz w:val="28"/>
          <w:szCs w:val="28"/>
        </w:rPr>
        <w:br/>
        <w:t>и примерные затраты на ее реализацию.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6.6. Ценовая политика, в том числе сравнение своих цен и качества </w:t>
      </w:r>
      <w:r w:rsidRPr="00146498">
        <w:rPr>
          <w:rFonts w:ascii="Times New Roman" w:eastAsia="Calibri" w:hAnsi="Times New Roman"/>
          <w:sz w:val="28"/>
          <w:szCs w:val="28"/>
        </w:rPr>
        <w:br/>
        <w:t>с ценами и качеством конкурентов.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7. Финансовый план: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146498">
        <w:rPr>
          <w:rFonts w:ascii="Times New Roman" w:eastAsia="Calibri" w:hAnsi="Times New Roman"/>
          <w:sz w:val="28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7.2. Стоимость проекта в разрезе источников финансирования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с указанием конкретного вида привлекаемого источника, существенных </w:t>
      </w: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условий его привлечения, соотнесение привлекаемых источников </w:t>
      </w:r>
      <w:r w:rsidRPr="00146498">
        <w:rPr>
          <w:rFonts w:ascii="Times New Roman" w:eastAsia="Calibri" w:hAnsi="Times New Roman"/>
          <w:sz w:val="28"/>
          <w:szCs w:val="28"/>
        </w:rPr>
        <w:br/>
        <w:t>с конкретными направлениями инвестиционных затрат (таблица 1).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8. Оценка эффективности проекта: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доход;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146498">
        <w:rPr>
          <w:rFonts w:ascii="Times New Roman" w:eastAsia="Calibri" w:hAnsi="Times New Roman"/>
          <w:sz w:val="28"/>
          <w:szCs w:val="28"/>
        </w:rPr>
        <w:br/>
        <w:t>и нарастающим итогом с начала реализации проекта);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9. Анализ рисков: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их влияния (опасности) на реализацию проекта, возможных последствий </w:t>
      </w:r>
      <w:r w:rsidRPr="00146498">
        <w:rPr>
          <w:rFonts w:ascii="Times New Roman" w:eastAsia="Calibri" w:hAnsi="Times New Roman"/>
          <w:sz w:val="28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рыночные риски;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правовые риски;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финансовые риски.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9.3. Анализ чувствительности финансовых результатов заявителя </w:t>
      </w:r>
      <w:r w:rsidRPr="00146498">
        <w:rPr>
          <w:rFonts w:ascii="Times New Roman" w:eastAsia="Calibri" w:hAnsi="Times New Roman"/>
          <w:sz w:val="28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9.4. Гарантии партнерам, покупателям, инвесторам.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II. Расчетная часть (таблицы 1–9)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46498">
        <w:rPr>
          <w:rFonts w:ascii="Times New Roman" w:eastAsia="Calibri" w:hAnsi="Times New Roman"/>
          <w:sz w:val="28"/>
          <w:szCs w:val="28"/>
        </w:rPr>
        <w:t>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2"/>
        <w:gridCol w:w="4201"/>
        <w:gridCol w:w="578"/>
        <w:gridCol w:w="565"/>
        <w:gridCol w:w="247"/>
        <w:gridCol w:w="245"/>
        <w:gridCol w:w="244"/>
        <w:gridCol w:w="558"/>
        <w:gridCol w:w="684"/>
        <w:gridCol w:w="684"/>
        <w:gridCol w:w="684"/>
        <w:gridCol w:w="684"/>
      </w:tblGrid>
      <w:tr w:rsidR="00281309" w:rsidRPr="00146498" w:rsidTr="00685282"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2. График реализации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281309" w:rsidRPr="00146498" w:rsidSect="00150735">
          <w:headerReference w:type="default" r:id="rId7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281309" w:rsidRPr="00146498" w:rsidTr="00685282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281309" w:rsidRPr="00146498" w:rsidTr="006852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2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281309" w:rsidRPr="00146498" w:rsidTr="0068528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281309" w:rsidRPr="00146498" w:rsidRDefault="00281309" w:rsidP="00281309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281309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281309" w:rsidRPr="00146498" w:rsidTr="00685282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рабочие, непосредственно занятые производством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48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281309" w:rsidRPr="00146498" w:rsidTr="0068528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281309" w:rsidRPr="00146498" w:rsidRDefault="00281309" w:rsidP="00281309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281309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281309" w:rsidRPr="00146498" w:rsidTr="00685282">
        <w:trPr>
          <w:tblHeader/>
        </w:trPr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55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br/>
        <w:t xml:space="preserve">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281309" w:rsidRPr="00146498" w:rsidTr="0068528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281309" w:rsidRPr="00146498" w:rsidRDefault="00281309" w:rsidP="00281309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281309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281309" w:rsidRPr="00146498" w:rsidTr="00685282">
        <w:trPr>
          <w:tblHeader/>
        </w:trPr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c>
          <w:tcPr>
            <w:tcW w:w="10123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Доход от реализации продукции (выручка с НДС,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акцизами и проч.)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23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23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3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146498">
        <w:rPr>
          <w:rFonts w:ascii="Times New Roman" w:eastAsia="Calibri" w:hAnsi="Times New Roman"/>
          <w:b/>
          <w:sz w:val="28"/>
          <w:szCs w:val="28"/>
        </w:rPr>
        <w:t>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54"/>
        <w:gridCol w:w="4331"/>
        <w:gridCol w:w="580"/>
        <w:gridCol w:w="549"/>
        <w:gridCol w:w="231"/>
        <w:gridCol w:w="231"/>
        <w:gridCol w:w="231"/>
        <w:gridCol w:w="628"/>
        <w:gridCol w:w="641"/>
        <w:gridCol w:w="641"/>
        <w:gridCol w:w="641"/>
        <w:gridCol w:w="641"/>
      </w:tblGrid>
      <w:tr w:rsidR="00281309" w:rsidRPr="00146498" w:rsidTr="00685282"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c>
          <w:tcPr>
            <w:tcW w:w="10141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41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41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7. Экономическая эффективность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84"/>
        <w:gridCol w:w="2175"/>
        <w:gridCol w:w="3290"/>
        <w:gridCol w:w="1751"/>
        <w:gridCol w:w="1149"/>
      </w:tblGrid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Таблица 7.1. Расчет срока окупаемости проекта 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999"/>
        <w:gridCol w:w="578"/>
        <w:gridCol w:w="543"/>
        <w:gridCol w:w="229"/>
        <w:gridCol w:w="228"/>
        <w:gridCol w:w="228"/>
        <w:gridCol w:w="553"/>
        <w:gridCol w:w="588"/>
        <w:gridCol w:w="588"/>
        <w:gridCol w:w="588"/>
        <w:gridCol w:w="588"/>
      </w:tblGrid>
      <w:tr w:rsidR="00281309" w:rsidRPr="00146498" w:rsidTr="00685282"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pacing w:val="-2"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146498">
        <w:rPr>
          <w:rFonts w:ascii="Times New Roman" w:eastAsia="Calibri" w:hAnsi="Times New Roman"/>
          <w:b/>
          <w:spacing w:val="-2"/>
          <w:sz w:val="28"/>
          <w:szCs w:val="28"/>
        </w:rPr>
        <w:t>(тыс. рублей).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281309" w:rsidRPr="00146498" w:rsidTr="0068528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281309" w:rsidRPr="00146498" w:rsidTr="0068528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281309" w:rsidRPr="00146498" w:rsidRDefault="00281309" w:rsidP="00281309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281309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281309" w:rsidRPr="00146498" w:rsidTr="00685282">
        <w:trPr>
          <w:tblHeader/>
        </w:trPr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281309" w:rsidRPr="00146498" w:rsidTr="00685282">
        <w:tc>
          <w:tcPr>
            <w:tcW w:w="10122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22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60"/>
        </w:trPr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консолидированный бюджет края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60"/>
        </w:trPr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10122" w:type="dxa"/>
            <w:gridSpan w:val="13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60"/>
        </w:trPr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1309" w:rsidRPr="00146498" w:rsidTr="00685282">
        <w:tc>
          <w:tcPr>
            <w:tcW w:w="46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281309" w:rsidRPr="00146498" w:rsidRDefault="00281309" w:rsidP="0068528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281309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281309" w:rsidRPr="00146498" w:rsidTr="0068528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281309" w:rsidRPr="00146498" w:rsidSect="00960E74">
          <w:headerReference w:type="default" r:id="rId8"/>
          <w:footerReference w:type="default" r:id="rId9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281309" w:rsidRPr="00146498" w:rsidTr="0068528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281309" w:rsidRPr="00146498" w:rsidTr="0068528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309" w:rsidRPr="00146498" w:rsidRDefault="00281309" w:rsidP="0068528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281309" w:rsidRPr="00146498" w:rsidSect="00DF4BC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281309" w:rsidRPr="00146498" w:rsidRDefault="00281309" w:rsidP="00281309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lastRenderedPageBreak/>
        <w:t>Приложение № 8</w:t>
      </w:r>
    </w:p>
    <w:p w:rsidR="00281309" w:rsidRPr="00146498" w:rsidRDefault="00281309" w:rsidP="00281309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>к макету бизнес-плана</w:t>
      </w:r>
    </w:p>
    <w:p w:rsidR="00281309" w:rsidRPr="00146498" w:rsidRDefault="00281309" w:rsidP="00281309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 xml:space="preserve"> инвестиционного проекта </w:t>
      </w:r>
    </w:p>
    <w:p w:rsidR="00281309" w:rsidRPr="00146498" w:rsidRDefault="00281309" w:rsidP="00281309">
      <w:pPr>
        <w:spacing w:after="0" w:line="240" w:lineRule="auto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Порядок оценки эффективности капитальных вложений</w:t>
      </w:r>
    </w:p>
    <w:p w:rsidR="00281309" w:rsidRPr="00146498" w:rsidRDefault="00281309" w:rsidP="00281309">
      <w:pPr>
        <w:spacing w:after="0" w:line="240" w:lineRule="auto"/>
        <w:ind w:left="4536"/>
        <w:rPr>
          <w:rFonts w:ascii="Times New Roman" w:eastAsia="Calibri" w:hAnsi="Times New Roman"/>
          <w:b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146498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146498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498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146498">
        <w:rPr>
          <w:rFonts w:ascii="Times New Roman" w:eastAsia="Calibri" w:hAnsi="Times New Roman"/>
          <w:sz w:val="28"/>
          <w:szCs w:val="28"/>
        </w:rPr>
        <w:br/>
        <w:t>и отчетные периоды текущего года: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способность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C31A74D" wp14:editId="27EC1C27">
            <wp:extent cx="26574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> &gt; 0,1; коэффициент текущей ликвидности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6640F0E9" wp14:editId="6467160D">
            <wp:extent cx="267652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146498">
        <w:rPr>
          <w:rFonts w:ascii="Times New Roman" w:eastAsia="Calibri" w:hAnsi="Times New Roman"/>
          <w:sz w:val="28"/>
          <w:szCs w:val="28"/>
        </w:rPr>
        <w:t>&gt; 1.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Коэффициент финансовой зависимости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характеризует, какую долю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структуре капитала составляют заемные средства, и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941ED8D" wp14:editId="51431D21">
            <wp:extent cx="34480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3 </w:t>
      </w:r>
      <w:r w:rsidRPr="00146498">
        <w:rPr>
          <w:rFonts w:ascii="Times New Roman" w:eastAsia="Calibri" w:hAnsi="Times New Roman"/>
          <w:sz w:val="28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4CBD07F" wp14:editId="4A0A7E6A">
            <wp:extent cx="180022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 &gt; 0 %.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6A302634" wp14:editId="54368E4D">
            <wp:extent cx="17716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> &gt; 0 %.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F576559" wp14:editId="46D7DF73">
            <wp:extent cx="19050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 xml:space="preserve"> &gt; 0,1.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 Чистые активы (Ча). Данный показатель рассчитывается в соответствии с приказом Министерства финансов Российской Федерации от 28.08.2014 </w:t>
      </w:r>
      <w:r w:rsidRPr="00146498">
        <w:rPr>
          <w:rFonts w:ascii="Times New Roman" w:eastAsia="Calibri" w:hAnsi="Times New Roman"/>
          <w:sz w:val="28"/>
          <w:szCs w:val="28"/>
        </w:rPr>
        <w:br/>
        <w:t>№ 84н «Об утверждении Порядка определения стоимости чистых активов».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Заявитель, продолжительность деятельности которого составляет более </w:t>
      </w:r>
      <w:r w:rsidRPr="00146498">
        <w:rPr>
          <w:rFonts w:ascii="Times New Roman" w:eastAsia="Calibri" w:hAnsi="Times New Roman"/>
          <w:sz w:val="28"/>
          <w:szCs w:val="28"/>
        </w:rPr>
        <w:br/>
        <w:t>2 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Оценка экономической эффективности проекта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Par49"/>
      <w:bookmarkEnd w:id="0"/>
      <w:r w:rsidRPr="00146498">
        <w:rPr>
          <w:rFonts w:ascii="Times New Roman" w:eastAsia="Calibri" w:hAnsi="Times New Roman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следующей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NV &gt; 0.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Чистый дисконтированный доход (NPV) – это сумма приведенных </w:t>
      </w:r>
      <w:r w:rsidRPr="00146498">
        <w:rPr>
          <w:rFonts w:ascii="Times New Roman" w:eastAsia="Calibri" w:hAnsi="Times New Roman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ставка дисконтирования.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146498">
        <w:rPr>
          <w:rFonts w:ascii="Times New Roman" w:eastAsia="Calibri" w:hAnsi="Times New Roman"/>
          <w:sz w:val="28"/>
          <w:szCs w:val="28"/>
        </w:rPr>
        <w:t>&gt;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0.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IRR &gt; d.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74"/>
      <w:bookmarkEnd w:id="1"/>
      <w:r w:rsidRPr="00146498">
        <w:rPr>
          <w:rFonts w:ascii="Times New Roman" w:eastAsia="Calibri" w:hAnsi="Times New Roman"/>
          <w:sz w:val="28"/>
          <w:szCs w:val="28"/>
        </w:rPr>
        <w:t>4.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w:lastRenderedPageBreak/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PI &gt; 1.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ЧП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A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146498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r w:rsidRPr="00146498">
        <w:rPr>
          <w:rFonts w:ascii="Times New Roman" w:eastAsia="Calibri" w:hAnsi="Times New Roman"/>
          <w:sz w:val="28"/>
          <w:szCs w:val="28"/>
        </w:rPr>
        <w:t>ФОТдоп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</w:rPr>
        <w:t>где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r w:rsidRPr="00146498">
        <w:rPr>
          <w:rFonts w:ascii="Times New Roman" w:eastAsia="Calibri" w:hAnsi="Times New Roman"/>
          <w:sz w:val="28"/>
          <w:szCs w:val="28"/>
        </w:rPr>
        <w:t xml:space="preserve">  – суммарный дополнительный фонд оплаты труда;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Rent – суммарная плата за предоставленное заявителю имущество </w:t>
      </w:r>
      <w:r w:rsidRPr="00146498">
        <w:rPr>
          <w:rFonts w:ascii="Times New Roman" w:eastAsia="Calibri" w:hAnsi="Times New Roman"/>
          <w:sz w:val="28"/>
          <w:szCs w:val="28"/>
        </w:rPr>
        <w:br/>
        <w:t>в аренду по проекту.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Pr="00146498">
        <w:rPr>
          <w:rFonts w:ascii="Times New Roman" w:eastAsia="Calibri" w:hAnsi="Times New Roman"/>
          <w:sz w:val="28"/>
        </w:rPr>
        <w:t>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E1F073" wp14:editId="2AD2435F">
            <wp:extent cx="4667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98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 xml:space="preserve">t  </w:t>
      </w:r>
      <w:r w:rsidRPr="00146498">
        <w:rPr>
          <w:rFonts w:ascii="Times New Roman" w:eastAsia="Calibri" w:hAnsi="Times New Roman"/>
          <w:sz w:val="28"/>
          <w:szCs w:val="28"/>
        </w:rPr>
        <w:t>– инвестиционные затраты в периоде t;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114"/>
      <w:bookmarkEnd w:id="2"/>
      <w:r w:rsidRPr="00146498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Pr="00146498">
        <w:rPr>
          <w:rFonts w:ascii="Times New Roman" w:eastAsia="Calibri" w:hAnsi="Times New Roman"/>
          <w:sz w:val="28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40A40CF" wp14:editId="1864F6F4">
            <wp:extent cx="1390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r w:rsidRPr="00146498">
        <w:rPr>
          <w:rFonts w:ascii="Times New Roman" w:eastAsia="Calibri" w:hAnsi="Times New Roman"/>
          <w:sz w:val="28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128"/>
      <w:bookmarkEnd w:id="3"/>
      <w:r w:rsidRPr="00146498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Эбюджет = Н – ГП,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Н – налоговые платежи в консолидированный бюджет края от реализации проекта;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281309" w:rsidRPr="00146498" w:rsidRDefault="00281309" w:rsidP="00281309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предпринимательства на реализацию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281309" w:rsidRPr="00146498" w:rsidRDefault="00281309" w:rsidP="00281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281309" w:rsidRPr="00146498" w:rsidRDefault="00281309" w:rsidP="00281309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1309" w:rsidRPr="00146498" w:rsidRDefault="00281309" w:rsidP="002813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281309" w:rsidRPr="00146498" w:rsidRDefault="00281309" w:rsidP="002813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81309" w:rsidRPr="00146498" w:rsidRDefault="00281309" w:rsidP="00281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 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281309" w:rsidRPr="00146498" w:rsidRDefault="00281309" w:rsidP="00281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281309" w:rsidRPr="00146498" w:rsidRDefault="00281309" w:rsidP="00281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46498">
        <w:rPr>
          <w:rFonts w:ascii="Times New Roman" w:hAnsi="Times New Roman"/>
          <w:color w:val="000000"/>
          <w:sz w:val="28"/>
          <w:szCs w:val="28"/>
        </w:rPr>
        <w:t>;</w:t>
      </w:r>
    </w:p>
    <w:p w:rsidR="00281309" w:rsidRPr="00146498" w:rsidRDefault="00281309" w:rsidP="00281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     </w:t>
      </w:r>
      <w:r w:rsidRPr="00146498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 классы 10, 11, 16, 18, 25, 31 раздела С;</w:t>
      </w:r>
    </w:p>
    <w:p w:rsidR="00281309" w:rsidRPr="00146498" w:rsidRDefault="00281309" w:rsidP="00281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 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146498">
        <w:rPr>
          <w:rFonts w:ascii="Times New Roman" w:hAnsi="Times New Roman"/>
          <w:color w:val="000000"/>
          <w:sz w:val="28"/>
          <w:szCs w:val="28"/>
        </w:rPr>
        <w:br/>
        <w:t>ОК 029-2014, утвержденного Приказом Росстандарта от 31.01.2014 № 14-ст);</w:t>
      </w:r>
    </w:p>
    <w:p w:rsidR="00281309" w:rsidRPr="00146498" w:rsidRDefault="00281309" w:rsidP="00281309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Росстандарта от 31.01.2014 № 14-ст). </w:t>
      </w:r>
    </w:p>
    <w:p w:rsidR="00281309" w:rsidRPr="00146498" w:rsidRDefault="00281309" w:rsidP="00281309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1309" w:rsidRPr="00146498" w:rsidRDefault="00281309" w:rsidP="0028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281309" w:rsidRPr="00146498" w:rsidRDefault="00281309" w:rsidP="0028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146498" w:rsidRDefault="00281309" w:rsidP="002813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81309" w:rsidRPr="00FB5F7C" w:rsidRDefault="00281309" w:rsidP="002813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719D" w:rsidRDefault="009E719D">
      <w:bookmarkStart w:id="4" w:name="_GoBack"/>
      <w:bookmarkEnd w:id="4"/>
    </w:p>
    <w:sectPr w:rsidR="009E719D" w:rsidSect="002C2FC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8" w:rsidRDefault="002813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83" w:rsidRDefault="002813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83" w:rsidRDefault="0028130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9" w:rsidRPr="005D31CB" w:rsidRDefault="00281309">
    <w:pPr>
      <w:pStyle w:val="a3"/>
      <w:jc w:val="center"/>
      <w:rPr>
        <w:rFonts w:ascii="Times New Roman" w:hAnsi="Times New Roman"/>
        <w:sz w:val="18"/>
        <w:szCs w:val="18"/>
      </w:rPr>
    </w:pPr>
  </w:p>
  <w:p w:rsidR="00475119" w:rsidRDefault="00281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8" w:rsidRPr="009A46C1" w:rsidRDefault="00281309" w:rsidP="007D2A87">
    <w:pPr>
      <w:tabs>
        <w:tab w:val="left" w:pos="4599"/>
        <w:tab w:val="center" w:pos="481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8" w:rsidRDefault="00281309">
    <w:pPr>
      <w:pStyle w:val="a3"/>
      <w:jc w:val="center"/>
    </w:pPr>
  </w:p>
  <w:p w:rsidR="00146498" w:rsidRPr="009A46C1" w:rsidRDefault="00281309" w:rsidP="00F65871">
    <w:pPr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9D" w:rsidRPr="00E00B5C" w:rsidRDefault="00281309">
    <w:pPr>
      <w:pStyle w:val="a3"/>
      <w:jc w:val="center"/>
      <w:rPr>
        <w:sz w:val="24"/>
      </w:rPr>
    </w:pPr>
  </w:p>
  <w:p w:rsidR="001B6B83" w:rsidRPr="007D2A87" w:rsidRDefault="00281309" w:rsidP="008E2B1F">
    <w:pPr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83" w:rsidRDefault="00281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1A"/>
    <w:rsid w:val="00281309"/>
    <w:rsid w:val="004D4E1A"/>
    <w:rsid w:val="009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30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28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30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30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81309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28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1309"/>
    <w:pPr>
      <w:ind w:left="720"/>
      <w:contextualSpacing/>
    </w:pPr>
  </w:style>
  <w:style w:type="paragraph" w:styleId="ab">
    <w:name w:val="No Spacing"/>
    <w:uiPriority w:val="1"/>
    <w:qFormat/>
    <w:rsid w:val="0028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1309"/>
  </w:style>
  <w:style w:type="paragraph" w:customStyle="1" w:styleId="ConsPlusTitlePage">
    <w:name w:val="ConsPlusTitlePage"/>
    <w:uiPriority w:val="99"/>
    <w:rsid w:val="002813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81309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309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281309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281309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281309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281309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8130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8130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28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281309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813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281309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81309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130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81309"/>
    <w:rPr>
      <w:vertAlign w:val="superscript"/>
    </w:rPr>
  </w:style>
  <w:style w:type="character" w:styleId="af5">
    <w:name w:val="Hyperlink"/>
    <w:uiPriority w:val="99"/>
    <w:unhideWhenUsed/>
    <w:rsid w:val="00281309"/>
    <w:rPr>
      <w:rFonts w:ascii="Times New Roman" w:hAnsi="Times New Roman" w:cs="Times New Roman" w:hint="default"/>
      <w:color w:val="0000FF"/>
      <w:u w:val="single"/>
    </w:rPr>
  </w:style>
  <w:style w:type="character" w:styleId="af6">
    <w:name w:val="Placeholder Text"/>
    <w:uiPriority w:val="99"/>
    <w:semiHidden/>
    <w:rsid w:val="00281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30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28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30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30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81309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28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1309"/>
    <w:pPr>
      <w:ind w:left="720"/>
      <w:contextualSpacing/>
    </w:pPr>
  </w:style>
  <w:style w:type="paragraph" w:styleId="ab">
    <w:name w:val="No Spacing"/>
    <w:uiPriority w:val="1"/>
    <w:qFormat/>
    <w:rsid w:val="0028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1309"/>
  </w:style>
  <w:style w:type="paragraph" w:customStyle="1" w:styleId="ConsPlusTitlePage">
    <w:name w:val="ConsPlusTitlePage"/>
    <w:uiPriority w:val="99"/>
    <w:rsid w:val="002813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81309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309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281309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281309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281309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281309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8130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8130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28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281309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813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281309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81309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130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81309"/>
    <w:rPr>
      <w:vertAlign w:val="superscript"/>
    </w:rPr>
  </w:style>
  <w:style w:type="character" w:styleId="af5">
    <w:name w:val="Hyperlink"/>
    <w:uiPriority w:val="99"/>
    <w:unhideWhenUsed/>
    <w:rsid w:val="00281309"/>
    <w:rPr>
      <w:rFonts w:ascii="Times New Roman" w:hAnsi="Times New Roman" w:cs="Times New Roman" w:hint="default"/>
      <w:color w:val="0000FF"/>
      <w:u w:val="single"/>
    </w:rPr>
  </w:style>
  <w:style w:type="character" w:styleId="af6">
    <w:name w:val="Placeholder Text"/>
    <w:uiPriority w:val="99"/>
    <w:semiHidden/>
    <w:rsid w:val="0028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7137</Words>
  <Characters>40683</Characters>
  <Application>Microsoft Office Word</Application>
  <DocSecurity>0</DocSecurity>
  <Lines>339</Lines>
  <Paragraphs>95</Paragraphs>
  <ScaleCrop>false</ScaleCrop>
  <Company/>
  <LinksUpToDate>false</LinksUpToDate>
  <CharactersWithSpaces>47725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2022-03-04T03:03:00Z</dcterms:created>
  <dcterms:modified xsi:type="dcterms:W3CDTF">2022-03-04T03:03:00Z</dcterms:modified>
</cp:coreProperties>
</file>