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CD" w:rsidRPr="005B5DF2" w:rsidRDefault="00034CCD" w:rsidP="00034CCD">
      <w:pPr>
        <w:ind w:left="6150"/>
        <w:rPr>
          <w:rFonts w:ascii="Arial" w:hAnsi="Arial" w:cs="Arial"/>
          <w:lang w:val="ru-RU"/>
        </w:rPr>
      </w:pPr>
      <w:r w:rsidRPr="005B5DF2">
        <w:rPr>
          <w:rFonts w:ascii="Arial" w:hAnsi="Arial" w:cs="Arial"/>
          <w:lang w:val="ru-RU"/>
        </w:rPr>
        <w:t xml:space="preserve">Приложение                                                                                       к постановлению                                                                       администрации                                                                                          </w:t>
      </w:r>
      <w:proofErr w:type="spellStart"/>
      <w:r w:rsidRPr="005B5DF2">
        <w:rPr>
          <w:rFonts w:ascii="Arial" w:hAnsi="Arial" w:cs="Arial"/>
          <w:lang w:val="ru-RU"/>
        </w:rPr>
        <w:t>Новоеловского</w:t>
      </w:r>
      <w:proofErr w:type="spellEnd"/>
      <w:r w:rsidRPr="005B5DF2">
        <w:rPr>
          <w:rFonts w:ascii="Arial" w:hAnsi="Arial" w:cs="Arial"/>
          <w:lang w:val="ru-RU"/>
        </w:rPr>
        <w:t xml:space="preserve"> сельсовета</w:t>
      </w:r>
    </w:p>
    <w:p w:rsidR="00034CCD" w:rsidRPr="005B5DF2" w:rsidRDefault="00034CCD" w:rsidP="00034CCD">
      <w:pPr>
        <w:ind w:left="615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Большеулуйского </w:t>
      </w:r>
      <w:r w:rsidRPr="005B5DF2">
        <w:rPr>
          <w:rFonts w:ascii="Arial" w:hAnsi="Arial" w:cs="Arial"/>
          <w:lang w:val="ru-RU"/>
        </w:rPr>
        <w:t xml:space="preserve"> района</w:t>
      </w:r>
    </w:p>
    <w:p w:rsidR="00034CCD" w:rsidRPr="00853A11" w:rsidRDefault="00034CCD" w:rsidP="00034CCD">
      <w:pPr>
        <w:ind w:left="6150"/>
        <w:rPr>
          <w:rFonts w:ascii="Arial" w:hAnsi="Arial" w:cs="Arial"/>
          <w:lang w:val="ru-RU"/>
        </w:rPr>
      </w:pPr>
      <w:r w:rsidRPr="005B5DF2">
        <w:rPr>
          <w:rFonts w:ascii="Arial" w:hAnsi="Arial" w:cs="Arial"/>
          <w:lang w:val="ru-RU"/>
        </w:rPr>
        <w:t xml:space="preserve">Красноярского края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 от 23.12.2020  № 27</w:t>
      </w:r>
      <w:r w:rsidRPr="005B5DF2">
        <w:rPr>
          <w:rFonts w:ascii="Arial" w:hAnsi="Arial" w:cs="Arial"/>
          <w:lang w:val="ru-RU"/>
        </w:rPr>
        <w:t xml:space="preserve"> – </w:t>
      </w:r>
      <w:proofErr w:type="spellStart"/>
      <w:proofErr w:type="gramStart"/>
      <w:r w:rsidRPr="005B5DF2">
        <w:rPr>
          <w:rFonts w:ascii="Arial" w:hAnsi="Arial" w:cs="Arial"/>
          <w:lang w:val="ru-RU"/>
        </w:rPr>
        <w:t>п</w:t>
      </w:r>
      <w:proofErr w:type="spellEnd"/>
      <w:proofErr w:type="gramEnd"/>
    </w:p>
    <w:p w:rsidR="00034CCD" w:rsidRPr="00323BA3" w:rsidRDefault="00034CCD" w:rsidP="00034CCD">
      <w:pPr>
        <w:jc w:val="both"/>
        <w:outlineLvl w:val="0"/>
        <w:rPr>
          <w:rFonts w:ascii="Arial" w:hAnsi="Arial" w:cs="Arial"/>
          <w:color w:val="0000FF"/>
        </w:rPr>
      </w:pPr>
    </w:p>
    <w:p w:rsidR="00034CCD" w:rsidRPr="0083384B" w:rsidRDefault="00034CCD" w:rsidP="00034CC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Порядок</w:t>
      </w:r>
    </w:p>
    <w:p w:rsidR="00034CCD" w:rsidRPr="0083384B" w:rsidRDefault="00034CCD" w:rsidP="00034CC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</w:r>
    </w:p>
    <w:p w:rsidR="00034CCD" w:rsidRPr="0083384B" w:rsidRDefault="00034CCD" w:rsidP="00034CCD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:rsidR="00034CCD" w:rsidRPr="0083384B" w:rsidRDefault="00034CCD" w:rsidP="00034C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Общие положения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1.1.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Pr="0083384B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83384B">
        <w:rPr>
          <w:rFonts w:ascii="Arial" w:hAnsi="Arial" w:cs="Arial"/>
          <w:lang w:val="ru-RU"/>
        </w:rPr>
        <w:t>Новоеловского</w:t>
      </w:r>
      <w:proofErr w:type="spellEnd"/>
      <w:r w:rsidRPr="0083384B">
        <w:rPr>
          <w:rFonts w:ascii="Arial" w:hAnsi="Arial" w:cs="Arial"/>
          <w:lang w:val="ru-RU"/>
        </w:rPr>
        <w:t xml:space="preserve"> сельсовете Большеулуйского района Красноярского края</w:t>
      </w:r>
      <w:r w:rsidRPr="0083384B">
        <w:rPr>
          <w:rFonts w:ascii="Arial" w:hAnsi="Arial" w:cs="Arial"/>
        </w:rPr>
        <w:t xml:space="preserve"> требований пункта 4  статьи 115.3 Бюджетного кодекса Российской Федерации.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1.2. Проверка финансового состояния принципала проводит Финансовое </w:t>
      </w:r>
      <w:r>
        <w:rPr>
          <w:rFonts w:ascii="Arial" w:hAnsi="Arial" w:cs="Arial"/>
          <w:lang w:val="ru-RU"/>
        </w:rPr>
        <w:t xml:space="preserve">экономическое </w:t>
      </w:r>
      <w:r w:rsidRPr="0083384B">
        <w:rPr>
          <w:rFonts w:ascii="Arial" w:hAnsi="Arial" w:cs="Arial"/>
        </w:rPr>
        <w:t xml:space="preserve">управление администрации </w:t>
      </w:r>
      <w:r w:rsidRPr="0083384B">
        <w:rPr>
          <w:rFonts w:ascii="Arial" w:hAnsi="Arial" w:cs="Arial"/>
          <w:lang w:val="ru-RU"/>
        </w:rPr>
        <w:t>Большеулуйского</w:t>
      </w:r>
      <w:r w:rsidRPr="0083384B">
        <w:rPr>
          <w:rFonts w:ascii="Arial" w:hAnsi="Arial" w:cs="Arial"/>
        </w:rPr>
        <w:t xml:space="preserve"> района (далее – Финансовое управление). 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1.3. Период, за который проводится анализ финансового состояния, включает: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а) последний отчетный период текущего года (последний отчетный период);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б) предыдущий финансовый год (2-й отчетный период);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в) год, предшествующий предыдущему финансовому году (1-й отчетный период).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1.4. Для проведения анализа финансового состояния принципалом предоставляются: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- копия отчета о финансовых результатах (форма по ОКУД 0710002, утвержденная приказом Министерства финансов Российской Федерации от </w:t>
      </w:r>
      <w:r w:rsidRPr="0083384B">
        <w:rPr>
          <w:rFonts w:ascii="Arial" w:hAnsi="Arial" w:cs="Arial"/>
        </w:rPr>
        <w:lastRenderedPageBreak/>
        <w:t>02.07.2010 № 66н «О формах бухгалтерской отчетности организаций»);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1.5. Финансовое управление проводит проверку финансового состояния принципала в течение 20 рабочих дней со дня предоставления перечисленных документов.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Проведение анализа финансового состояния принципала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2.1. Финансовые показатели 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стоимость чистых активов (К1);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коэффициент покрытия основных средств собственными средствами (К2);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коэффициент текущей ликвидности (К3);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рентабельность продаж (К4);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норма чистой прибыли (К5).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bookmarkStart w:id="0" w:name="P68"/>
      <w:bookmarkEnd w:id="0"/>
      <w:r w:rsidRPr="0083384B">
        <w:rPr>
          <w:rFonts w:ascii="Arial" w:hAnsi="Arial" w:cs="Arial"/>
        </w:rPr>
        <w:t>2.2. Методика расчета финансовых показателей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К1 = СА - ДО - КО + ДБП, где: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СА - совокупные активы (код строки бухгалтерского баланса 1600);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ДО - долгосрочные обязательства (код строки бухгалтерского баланса 1400);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КО - краткосрочные обязательства (код строки бухгалтерского баланса 1500);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ДБП - доходы будущих периодов (код строки бухгалтерского баланса 1530).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2.2.4. Коэффициент покрытия основных средств собственными средствами (К2) характеризует необходимость продажи организацией своих основных средств </w:t>
      </w:r>
      <w:r w:rsidRPr="0083384B">
        <w:rPr>
          <w:rFonts w:ascii="Arial" w:hAnsi="Arial" w:cs="Arial"/>
        </w:rPr>
        <w:lastRenderedPageBreak/>
        <w:t>для осуществления полного расчета с кредиторами.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380490" cy="393065"/>
            <wp:effectExtent l="0" t="0" r="0" b="0"/>
            <wp:docPr id="1" name="Рисунок 1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ДБП - доходы будущих периодов (код строки 1530 (н.п.) + код строки 1530 (к.п.);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ОС - основные средства (код строки 1150 (н.п.) + код строки 1150 (к.п.).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Коэффициент текущей ликвидности рассчитывается по данным бухгалтерского баланса по формуле: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978535" cy="393065"/>
            <wp:effectExtent l="0" t="0" r="0" b="0"/>
            <wp:docPr id="2" name="Рисунок 2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ОА - оборотные активы (код строки 1200 (н.п.) + код строки 1200 (к.п.);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Рентабельность продаж рассчитывается по данным отчета о финансовых результатах по следующей формуле: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а) для каждого отчетного периода: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77570" cy="393065"/>
            <wp:effectExtent l="0" t="0" r="0" b="0"/>
            <wp:docPr id="3" name="Рисунок 3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П - прибыль от продаж (код строки 2200);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- выручка (код строки 2110);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б) для всего анализируемого периода: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77570" cy="393065"/>
            <wp:effectExtent l="0" t="0" r="0" b="0"/>
            <wp:docPr id="4" name="Рисунок 4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П - прибыль от продаж (код строки 2200</w:t>
      </w:r>
      <w:r w:rsidRPr="0083384B">
        <w:rPr>
          <w:rFonts w:ascii="Arial" w:hAnsi="Arial" w:cs="Arial"/>
          <w:vertAlign w:val="subscript"/>
        </w:rPr>
        <w:t>1</w:t>
      </w:r>
      <w:r w:rsidRPr="0083384B">
        <w:rPr>
          <w:rFonts w:ascii="Arial" w:hAnsi="Arial" w:cs="Arial"/>
        </w:rPr>
        <w:t xml:space="preserve"> + код строки 2200</w:t>
      </w:r>
      <w:r w:rsidRPr="0083384B">
        <w:rPr>
          <w:rFonts w:ascii="Arial" w:hAnsi="Arial" w:cs="Arial"/>
          <w:vertAlign w:val="subscript"/>
        </w:rPr>
        <w:t>2</w:t>
      </w:r>
      <w:r w:rsidRPr="0083384B">
        <w:rPr>
          <w:rFonts w:ascii="Arial" w:hAnsi="Arial" w:cs="Arial"/>
        </w:rPr>
        <w:t xml:space="preserve"> + код строки 2200</w:t>
      </w:r>
      <w:r w:rsidRPr="0083384B">
        <w:rPr>
          <w:rFonts w:ascii="Arial" w:hAnsi="Arial" w:cs="Arial"/>
          <w:vertAlign w:val="subscript"/>
        </w:rPr>
        <w:t>3</w:t>
      </w:r>
      <w:r w:rsidRPr="0083384B">
        <w:rPr>
          <w:rFonts w:ascii="Arial" w:hAnsi="Arial" w:cs="Arial"/>
        </w:rPr>
        <w:t>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- выручка (код строки 2110</w:t>
      </w:r>
      <w:r w:rsidRPr="0083384B">
        <w:rPr>
          <w:rFonts w:ascii="Arial" w:hAnsi="Arial" w:cs="Arial"/>
          <w:vertAlign w:val="subscript"/>
        </w:rPr>
        <w:t>1</w:t>
      </w:r>
      <w:r w:rsidRPr="0083384B">
        <w:rPr>
          <w:rFonts w:ascii="Arial" w:hAnsi="Arial" w:cs="Arial"/>
        </w:rPr>
        <w:t xml:space="preserve"> + код строки 2110</w:t>
      </w:r>
      <w:r w:rsidRPr="0083384B">
        <w:rPr>
          <w:rFonts w:ascii="Arial" w:hAnsi="Arial" w:cs="Arial"/>
          <w:vertAlign w:val="subscript"/>
        </w:rPr>
        <w:t>2</w:t>
      </w:r>
      <w:r w:rsidRPr="0083384B">
        <w:rPr>
          <w:rFonts w:ascii="Arial" w:hAnsi="Arial" w:cs="Arial"/>
        </w:rPr>
        <w:t xml:space="preserve"> + код строки 2110</w:t>
      </w:r>
      <w:r w:rsidRPr="0083384B">
        <w:rPr>
          <w:rFonts w:ascii="Arial" w:hAnsi="Arial" w:cs="Arial"/>
          <w:vertAlign w:val="subscript"/>
        </w:rPr>
        <w:t>3</w:t>
      </w:r>
      <w:r w:rsidRPr="0083384B">
        <w:rPr>
          <w:rFonts w:ascii="Arial" w:hAnsi="Arial" w:cs="Arial"/>
        </w:rPr>
        <w:t>), где 1 - 1-й отчетный период, 2 - 2-й отчетный период, 3 - последний отчетный период.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Норма чистой прибыли рассчитывается по данным отчета о финансовых результатах по формуле: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а) для каждого отчетного периода: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960120" cy="393065"/>
            <wp:effectExtent l="0" t="0" r="0" b="0"/>
            <wp:docPr id="5" name="Рисунок 5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ЧП - чистая прибыль (код строки 2400);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- выручка (код строки 2110);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б) для всего анализируемого периода: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960120" cy="393065"/>
            <wp:effectExtent l="0" t="0" r="0" b="0"/>
            <wp:docPr id="6" name="Рисунок 6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ЧП - чистая прибыль (код строки 2400</w:t>
      </w:r>
      <w:r w:rsidRPr="0083384B">
        <w:rPr>
          <w:rFonts w:ascii="Arial" w:hAnsi="Arial" w:cs="Arial"/>
          <w:vertAlign w:val="subscript"/>
        </w:rPr>
        <w:t>1</w:t>
      </w:r>
      <w:r w:rsidRPr="0083384B">
        <w:rPr>
          <w:rFonts w:ascii="Arial" w:hAnsi="Arial" w:cs="Arial"/>
        </w:rPr>
        <w:t xml:space="preserve"> + код строки 2400</w:t>
      </w:r>
      <w:r w:rsidRPr="0083384B">
        <w:rPr>
          <w:rFonts w:ascii="Arial" w:hAnsi="Arial" w:cs="Arial"/>
          <w:vertAlign w:val="subscript"/>
        </w:rPr>
        <w:t>2</w:t>
      </w:r>
      <w:r w:rsidRPr="0083384B">
        <w:rPr>
          <w:rFonts w:ascii="Arial" w:hAnsi="Arial" w:cs="Arial"/>
        </w:rPr>
        <w:t xml:space="preserve"> + код строки 2400</w:t>
      </w:r>
      <w:r w:rsidRPr="0083384B">
        <w:rPr>
          <w:rFonts w:ascii="Arial" w:hAnsi="Arial" w:cs="Arial"/>
          <w:vertAlign w:val="subscript"/>
        </w:rPr>
        <w:t>3</w:t>
      </w:r>
      <w:r w:rsidRPr="0083384B">
        <w:rPr>
          <w:rFonts w:ascii="Arial" w:hAnsi="Arial" w:cs="Arial"/>
        </w:rPr>
        <w:t>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- выручка (код строки 2110</w:t>
      </w:r>
      <w:r w:rsidRPr="0083384B">
        <w:rPr>
          <w:rFonts w:ascii="Arial" w:hAnsi="Arial" w:cs="Arial"/>
          <w:vertAlign w:val="subscript"/>
        </w:rPr>
        <w:t>1</w:t>
      </w:r>
      <w:r w:rsidRPr="0083384B">
        <w:rPr>
          <w:rFonts w:ascii="Arial" w:hAnsi="Arial" w:cs="Arial"/>
        </w:rPr>
        <w:t xml:space="preserve"> + код строки 2110</w:t>
      </w:r>
      <w:r w:rsidRPr="0083384B">
        <w:rPr>
          <w:rFonts w:ascii="Arial" w:hAnsi="Arial" w:cs="Arial"/>
          <w:vertAlign w:val="subscript"/>
        </w:rPr>
        <w:t>2</w:t>
      </w:r>
      <w:r w:rsidRPr="0083384B">
        <w:rPr>
          <w:rFonts w:ascii="Arial" w:hAnsi="Arial" w:cs="Arial"/>
        </w:rPr>
        <w:t xml:space="preserve"> + код строки 2110</w:t>
      </w:r>
      <w:r w:rsidRPr="0083384B">
        <w:rPr>
          <w:rFonts w:ascii="Arial" w:hAnsi="Arial" w:cs="Arial"/>
          <w:vertAlign w:val="subscript"/>
        </w:rPr>
        <w:t>3</w:t>
      </w:r>
      <w:r w:rsidRPr="0083384B">
        <w:rPr>
          <w:rFonts w:ascii="Arial" w:hAnsi="Arial" w:cs="Arial"/>
        </w:rPr>
        <w:t>), где 1 - 1-й отчетный период, 2 - 2-й отчетный период, 3 - последний отчетный период.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2.3. Оценка финансового состояния принципала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5613"/>
      </w:tblGrid>
      <w:tr w:rsidR="00034CCD" w:rsidRPr="0083384B" w:rsidTr="00D30275">
        <w:tc>
          <w:tcPr>
            <w:tcW w:w="3458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Допустимое значение</w:t>
            </w:r>
          </w:p>
        </w:tc>
      </w:tr>
      <w:tr w:rsidR="00034CCD" w:rsidRPr="0083384B" w:rsidTr="00D30275">
        <w:tc>
          <w:tcPr>
            <w:tcW w:w="3458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К2</w:t>
            </w:r>
          </w:p>
        </w:tc>
        <w:tc>
          <w:tcPr>
            <w:tcW w:w="5613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больше или равно 1</w:t>
            </w:r>
          </w:p>
        </w:tc>
      </w:tr>
      <w:tr w:rsidR="00034CCD" w:rsidRPr="0083384B" w:rsidTr="00D30275">
        <w:tc>
          <w:tcPr>
            <w:tcW w:w="3458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К3</w:t>
            </w:r>
          </w:p>
        </w:tc>
        <w:tc>
          <w:tcPr>
            <w:tcW w:w="5613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больше или равно 1</w:t>
            </w:r>
          </w:p>
        </w:tc>
      </w:tr>
      <w:tr w:rsidR="00034CCD" w:rsidRPr="0083384B" w:rsidTr="00D30275">
        <w:tc>
          <w:tcPr>
            <w:tcW w:w="3458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К4</w:t>
            </w:r>
          </w:p>
        </w:tc>
        <w:tc>
          <w:tcPr>
            <w:tcW w:w="5613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больше или равно 0</w:t>
            </w:r>
          </w:p>
        </w:tc>
      </w:tr>
      <w:tr w:rsidR="00034CCD" w:rsidRPr="0083384B" w:rsidTr="00D30275">
        <w:tc>
          <w:tcPr>
            <w:tcW w:w="3458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К5</w:t>
            </w:r>
          </w:p>
        </w:tc>
        <w:tc>
          <w:tcPr>
            <w:tcW w:w="5613" w:type="dxa"/>
            <w:vAlign w:val="center"/>
          </w:tcPr>
          <w:p w:rsidR="00034CCD" w:rsidRPr="0083384B" w:rsidRDefault="00034CCD" w:rsidP="00D302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83384B">
              <w:rPr>
                <w:rFonts w:ascii="Arial" w:hAnsi="Arial" w:cs="Arial"/>
              </w:rPr>
              <w:t>больше или равно 0</w:t>
            </w:r>
          </w:p>
        </w:tc>
      </w:tr>
    </w:tbl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2.3.3. Вывод об удовлетворительном значении показателей делается при их допустимом значении: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для показателей К2 и К3 используются средние за отчетный период значения;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для показателей К4 и К5 используются значения, рассчитанные для всего анализируемого периода.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В иных случаях финансовое состояние принципала признается неудовлетворительным.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 xml:space="preserve">2.3.5. По результатам проведения анализа финансового состояния принципала  Финансовое управление оформляет заключение о финансовом состоянии принципала (приложение 1 к Порядку) и направляет </w:t>
      </w:r>
      <w:r w:rsidRPr="0083384B">
        <w:rPr>
          <w:rFonts w:ascii="Arial" w:hAnsi="Arial" w:cs="Arial"/>
          <w:lang w:val="ru-RU"/>
        </w:rPr>
        <w:t>Г</w:t>
      </w:r>
      <w:r w:rsidRPr="0083384B">
        <w:rPr>
          <w:rFonts w:ascii="Arial" w:hAnsi="Arial" w:cs="Arial"/>
        </w:rPr>
        <w:t xml:space="preserve">лаве </w:t>
      </w:r>
      <w:r w:rsidRPr="0083384B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83384B">
        <w:rPr>
          <w:rFonts w:ascii="Arial" w:hAnsi="Arial" w:cs="Arial"/>
          <w:lang w:val="ru-RU"/>
        </w:rPr>
        <w:t>Новоеловского</w:t>
      </w:r>
      <w:proofErr w:type="spellEnd"/>
      <w:r w:rsidRPr="0083384B">
        <w:rPr>
          <w:rFonts w:ascii="Arial" w:hAnsi="Arial" w:cs="Arial"/>
          <w:lang w:val="ru-RU"/>
        </w:rPr>
        <w:t xml:space="preserve"> сельсовета</w:t>
      </w:r>
      <w:r w:rsidRPr="0083384B">
        <w:rPr>
          <w:rFonts w:ascii="Arial" w:hAnsi="Arial" w:cs="Arial"/>
        </w:rPr>
        <w:t>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bookmarkStart w:id="1" w:name="P149"/>
      <w:bookmarkEnd w:id="1"/>
      <w:r w:rsidRPr="0083384B">
        <w:rPr>
          <w:rFonts w:ascii="Arial" w:hAnsi="Arial" w:cs="Arial"/>
        </w:rPr>
        <w:lastRenderedPageBreak/>
        <w:t>2.4. Мониторинг финансового состояния принципала после предоставления муниципальной гарантии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2.4.1. Мониторинг финансового состояния принципала осуществляется Финансовым управлением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2.4.2. По результатам мониторинга Финансовое управление подготавливает заключение о финансовом состоянии принципала (приложение  1 к Порядку) и после подписания направляет его принципалу.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83384B">
        <w:rPr>
          <w:rFonts w:ascii="Arial" w:hAnsi="Arial" w:cs="Arial"/>
        </w:rPr>
        <w:t>3. 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 муниципальная гарантия;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поручительство юридического лица;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залог имущества принципала или третьего лица.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принятия решения о предоставлении муниципальной гарантии;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3.4. Проверка достаточности,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2.2 - 2.4 настоящего Порядка.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3.5. Для оценки достаточности, надежности и ликвидности обеспечения гарантом (поручителем) в Финансовое управление представляются следующие документы: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lastRenderedPageBreak/>
        <w:t>- письмо организации (гаранта/поручителя) о согласии выступить гарантом (поручителем) по обязательствам принципала;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188"/>
      <w:bookmarkEnd w:id="2"/>
      <w:r w:rsidRPr="0083384B">
        <w:rPr>
          <w:rFonts w:ascii="Arial" w:hAnsi="Arial" w:cs="Arial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Документы и иные материалы, полученные Финансовым управлением</w:t>
      </w:r>
      <w:r w:rsidRPr="0083384B">
        <w:rPr>
          <w:rFonts w:ascii="Arial" w:hAnsi="Arial" w:cs="Arial"/>
          <w:i/>
        </w:rPr>
        <w:t xml:space="preserve"> </w:t>
      </w:r>
      <w:r w:rsidRPr="0083384B">
        <w:rPr>
          <w:rFonts w:ascii="Arial" w:hAnsi="Arial" w:cs="Arial"/>
        </w:rPr>
        <w:t xml:space="preserve">в </w:t>
      </w:r>
      <w:r w:rsidRPr="0083384B">
        <w:rPr>
          <w:rFonts w:ascii="Arial" w:hAnsi="Arial" w:cs="Arial"/>
        </w:rPr>
        <w:lastRenderedPageBreak/>
        <w:t>соответствии с настоящим Порядком, не возвращаются.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191"/>
      <w:bookmarkEnd w:id="3"/>
      <w:r w:rsidRPr="0083384B">
        <w:rPr>
          <w:rFonts w:ascii="Arial" w:hAnsi="Arial" w:cs="Arial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финансовое состояние гаранта (поручителя) является хорошим или удовлетворительным;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оценка надежности (ликвидности) банковской гарантии (поручительство) признается надежной;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Финансовое управление оформляет заключение о достаточности обеспечения исполнения обязательств принципала (приложение 2 к Порядку).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197"/>
      <w:bookmarkEnd w:id="4"/>
      <w:r w:rsidRPr="0083384B">
        <w:rPr>
          <w:rFonts w:ascii="Arial" w:hAnsi="Arial" w:cs="Arial"/>
        </w:rPr>
        <w:t>3.11. В случаях выявления недостаточности обеспечения исполнения обязательств принципала в части банковской гарантии и поручительства Финансовое управление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3384B">
        <w:rPr>
          <w:rFonts w:ascii="Arial" w:hAnsi="Arial" w:cs="Arial"/>
        </w:rPr>
        <w:t>3.12. 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034CCD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034CCD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034CCD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Pr="0083384B" w:rsidRDefault="00034CCD" w:rsidP="00034C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34CCD" w:rsidRDefault="00034CCD" w:rsidP="00034CCD">
      <w:pPr>
        <w:pStyle w:val="ConsPlusNormal"/>
        <w:ind w:firstLine="0"/>
        <w:outlineLvl w:val="1"/>
        <w:rPr>
          <w:rFonts w:eastAsia="Andale Sans UI"/>
          <w:kern w:val="1"/>
          <w:sz w:val="28"/>
          <w:szCs w:val="28"/>
        </w:rPr>
      </w:pPr>
    </w:p>
    <w:p w:rsidR="00034CCD" w:rsidRPr="003E4885" w:rsidRDefault="00034CCD" w:rsidP="00034CC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34CCD" w:rsidRPr="00C83F61" w:rsidRDefault="00034CCD" w:rsidP="00034CCD">
      <w:pPr>
        <w:pStyle w:val="ConsPlusNormal"/>
        <w:ind w:firstLine="5103"/>
        <w:outlineLvl w:val="1"/>
        <w:rPr>
          <w:sz w:val="24"/>
          <w:szCs w:val="24"/>
        </w:rPr>
      </w:pPr>
      <w:r w:rsidRPr="00C83F61">
        <w:rPr>
          <w:sz w:val="24"/>
          <w:szCs w:val="24"/>
        </w:rPr>
        <w:lastRenderedPageBreak/>
        <w:t>Приложение  1</w:t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к Порядку</w:t>
      </w:r>
      <w:r>
        <w:rPr>
          <w:rFonts w:ascii="Arial" w:hAnsi="Arial" w:cs="Arial"/>
        </w:rPr>
        <w:t xml:space="preserve"> определения при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 xml:space="preserve">предоставлении муниципальной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гарантии минимального объема</w:t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</w:rPr>
      </w:pPr>
      <w:r w:rsidRPr="00C83F61">
        <w:rPr>
          <w:rFonts w:ascii="Arial" w:hAnsi="Arial" w:cs="Arial"/>
        </w:rPr>
        <w:t>(суммы) обеспечения исполнения</w:t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обяз</w:t>
      </w:r>
      <w:r>
        <w:rPr>
          <w:rFonts w:ascii="Arial" w:hAnsi="Arial" w:cs="Arial"/>
        </w:rPr>
        <w:t>ательств</w:t>
      </w:r>
      <w:r>
        <w:rPr>
          <w:rFonts w:ascii="Arial" w:hAnsi="Arial" w:cs="Arial"/>
        </w:rPr>
        <w:tab/>
        <w:t xml:space="preserve">принципала по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удо</w:t>
      </w:r>
      <w:r>
        <w:rPr>
          <w:rFonts w:ascii="Arial" w:hAnsi="Arial" w:cs="Arial"/>
        </w:rPr>
        <w:t xml:space="preserve">влетворению регрессного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 xml:space="preserve">требования гаранта к принципалу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по му</w:t>
      </w:r>
      <w:r>
        <w:rPr>
          <w:rFonts w:ascii="Arial" w:hAnsi="Arial" w:cs="Arial"/>
        </w:rPr>
        <w:t xml:space="preserve">ниципальной гарантии в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зависимости от степени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 xml:space="preserve">удовлетворительности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финансов</w:t>
      </w:r>
      <w:r>
        <w:rPr>
          <w:rFonts w:ascii="Arial" w:hAnsi="Arial" w:cs="Arial"/>
        </w:rPr>
        <w:t xml:space="preserve">ого состояния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принципала</w:t>
      </w:r>
    </w:p>
    <w:p w:rsidR="00034CCD" w:rsidRPr="003D381B" w:rsidRDefault="00034CCD" w:rsidP="00034CC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034CCD" w:rsidRPr="00374B7D" w:rsidRDefault="00034CCD" w:rsidP="00034CC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34CCD" w:rsidRPr="00374B7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Pr="00C83F61" w:rsidRDefault="00034CCD" w:rsidP="00034C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09"/>
      <w:bookmarkEnd w:id="5"/>
      <w:r w:rsidRPr="00C83F61">
        <w:rPr>
          <w:rFonts w:ascii="Arial" w:hAnsi="Arial" w:cs="Arial"/>
          <w:sz w:val="24"/>
          <w:szCs w:val="24"/>
        </w:rPr>
        <w:t>Заключение</w:t>
      </w:r>
    </w:p>
    <w:p w:rsidR="00034CCD" w:rsidRPr="00C83F61" w:rsidRDefault="00034CCD" w:rsidP="00034C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по результатам анализа финансового состояния принципала</w:t>
      </w:r>
    </w:p>
    <w:p w:rsidR="00034CCD" w:rsidRPr="00C83F61" w:rsidRDefault="00034CCD" w:rsidP="00034CC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34CCD" w:rsidRPr="00374B7D" w:rsidRDefault="00034CCD" w:rsidP="00034C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 xml:space="preserve">    Анализ финансового состояния_____________________________________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</w:rPr>
      </w:pPr>
      <w:r w:rsidRPr="00C83F61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C83F61">
        <w:rPr>
          <w:rFonts w:ascii="Arial" w:hAnsi="Arial" w:cs="Arial"/>
        </w:rPr>
        <w:t xml:space="preserve">    (наименование принципала, ИНН, ОГРН)</w:t>
      </w:r>
    </w:p>
    <w:p w:rsidR="00034CCD" w:rsidRPr="00C83F61" w:rsidRDefault="00034CCD" w:rsidP="00034CC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C83F61">
        <w:rPr>
          <w:rFonts w:ascii="Arial" w:hAnsi="Arial" w:cs="Arial"/>
          <w:sz w:val="24"/>
          <w:szCs w:val="24"/>
        </w:rPr>
        <w:t>проведен за 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C83F61">
        <w:rPr>
          <w:rFonts w:ascii="Arial" w:hAnsi="Arial" w:cs="Arial"/>
          <w:sz w:val="24"/>
          <w:szCs w:val="24"/>
        </w:rPr>
        <w:t xml:space="preserve"> 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proofErr w:type="gramEnd"/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4CCD" w:rsidRPr="00374B7D" w:rsidRDefault="00034CCD" w:rsidP="00034C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3F61">
        <w:rPr>
          <w:rFonts w:ascii="Arial" w:hAnsi="Arial" w:cs="Arial"/>
          <w:sz w:val="24"/>
          <w:szCs w:val="24"/>
        </w:rPr>
        <w:t>Результаты оценки финансового состояния принципала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4CCD" w:rsidRPr="00374B7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ind w:firstLine="720"/>
        <w:jc w:val="center"/>
        <w:rPr>
          <w:lang w:val="ru-RU"/>
        </w:rPr>
      </w:pPr>
    </w:p>
    <w:p w:rsidR="00034CCD" w:rsidRDefault="00034CCD" w:rsidP="00034CCD">
      <w:pPr>
        <w:ind w:firstLine="720"/>
        <w:jc w:val="center"/>
        <w:rPr>
          <w:lang w:val="ru-RU"/>
        </w:rPr>
      </w:pPr>
    </w:p>
    <w:p w:rsidR="00034CCD" w:rsidRDefault="00034CCD" w:rsidP="00034CCD">
      <w:pPr>
        <w:ind w:firstLine="720"/>
        <w:jc w:val="center"/>
        <w:rPr>
          <w:lang w:val="ru-RU"/>
        </w:rPr>
      </w:pPr>
    </w:p>
    <w:p w:rsidR="00034CCD" w:rsidRDefault="00034CCD" w:rsidP="00034CCD">
      <w:pPr>
        <w:ind w:firstLine="720"/>
        <w:jc w:val="center"/>
        <w:rPr>
          <w:lang w:val="ru-RU"/>
        </w:rPr>
        <w:sectPr w:rsidR="00034CCD" w:rsidSect="009D4DBB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851" w:footer="851" w:gutter="0"/>
          <w:cols w:space="720"/>
          <w:titlePg/>
          <w:docGrid w:linePitch="360"/>
        </w:sectPr>
      </w:pPr>
    </w:p>
    <w:tbl>
      <w:tblPr>
        <w:tblW w:w="1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2169"/>
        <w:gridCol w:w="2169"/>
        <w:gridCol w:w="2172"/>
        <w:gridCol w:w="3825"/>
        <w:gridCol w:w="1442"/>
      </w:tblGrid>
      <w:tr w:rsidR="00034CCD" w:rsidRPr="00C83F61" w:rsidTr="00D30275">
        <w:trPr>
          <w:trHeight w:val="285"/>
        </w:trPr>
        <w:tc>
          <w:tcPr>
            <w:tcW w:w="3261" w:type="dxa"/>
            <w:vMerge w:val="restart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lastRenderedPageBreak/>
              <w:t>Показатель</w:t>
            </w:r>
          </w:p>
        </w:tc>
        <w:tc>
          <w:tcPr>
            <w:tcW w:w="6510" w:type="dxa"/>
            <w:gridSpan w:val="3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Значение</w:t>
            </w:r>
          </w:p>
        </w:tc>
        <w:tc>
          <w:tcPr>
            <w:tcW w:w="3825" w:type="dxa"/>
            <w:vMerge w:val="restart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Допустимое значение</w:t>
            </w:r>
          </w:p>
        </w:tc>
        <w:tc>
          <w:tcPr>
            <w:tcW w:w="1442" w:type="dxa"/>
            <w:vMerge w:val="restart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Вывод</w:t>
            </w:r>
          </w:p>
        </w:tc>
      </w:tr>
      <w:tr w:rsidR="00034CCD" w:rsidRPr="00C83F61" w:rsidTr="00D30275">
        <w:trPr>
          <w:trHeight w:val="137"/>
        </w:trPr>
        <w:tc>
          <w:tcPr>
            <w:tcW w:w="3261" w:type="dxa"/>
            <w:vMerge/>
          </w:tcPr>
          <w:p w:rsidR="00034CCD" w:rsidRPr="00C83F61" w:rsidRDefault="00034CCD" w:rsidP="00D30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 xml:space="preserve">_____________ </w:t>
            </w:r>
            <w:proofErr w:type="gramStart"/>
            <w:r w:rsidRPr="00C83F61">
              <w:t>г</w:t>
            </w:r>
            <w:proofErr w:type="gramEnd"/>
            <w:r w:rsidRPr="00C83F61">
              <w:t>.</w:t>
            </w:r>
          </w:p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(1-й отчетный период)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 xml:space="preserve">_____________ </w:t>
            </w:r>
            <w:proofErr w:type="gramStart"/>
            <w:r w:rsidRPr="00C83F61">
              <w:t>г</w:t>
            </w:r>
            <w:proofErr w:type="gramEnd"/>
            <w:r w:rsidRPr="00C83F61">
              <w:t>.</w:t>
            </w:r>
          </w:p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(2-й отчетный период)</w:t>
            </w: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 xml:space="preserve">_____________ </w:t>
            </w:r>
            <w:proofErr w:type="gramStart"/>
            <w:r w:rsidRPr="00C83F61">
              <w:t>г</w:t>
            </w:r>
            <w:proofErr w:type="gramEnd"/>
            <w:r w:rsidRPr="00C83F61">
              <w:t>.</w:t>
            </w:r>
          </w:p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(последний отчетный период)</w:t>
            </w:r>
          </w:p>
        </w:tc>
        <w:tc>
          <w:tcPr>
            <w:tcW w:w="3825" w:type="dxa"/>
            <w:vMerge/>
          </w:tcPr>
          <w:p w:rsidR="00034CCD" w:rsidRPr="00C83F61" w:rsidRDefault="00034CCD" w:rsidP="00D30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34CCD" w:rsidRPr="00C83F61" w:rsidRDefault="00034CCD" w:rsidP="00D30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CCD" w:rsidRPr="00C83F61" w:rsidTr="00D30275">
        <w:trPr>
          <w:trHeight w:val="228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1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2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3</w:t>
            </w: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4</w:t>
            </w: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5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  <w:ind w:firstLine="12"/>
              <w:jc w:val="center"/>
            </w:pPr>
            <w:r w:rsidRPr="00C83F61">
              <w:t>6</w:t>
            </w:r>
          </w:p>
        </w:tc>
      </w:tr>
      <w:tr w:rsidR="00034CCD" w:rsidRPr="00C83F61" w:rsidTr="00D30275">
        <w:trPr>
          <w:trHeight w:val="456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Стоимость чистых активов К</w:t>
            </w:r>
            <w:proofErr w:type="gramStart"/>
            <w:r w:rsidRPr="00C83F61">
              <w:rPr>
                <w:color w:val="000000"/>
              </w:rPr>
              <w:t>1</w:t>
            </w:r>
            <w:proofErr w:type="gramEnd"/>
            <w:r w:rsidRPr="00C83F61">
              <w:rPr>
                <w:color w:val="000000"/>
              </w:rPr>
              <w:t xml:space="preserve"> &lt;1&gt;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  <w:vMerge w:val="restart"/>
          </w:tcPr>
          <w:p w:rsidR="00034CCD" w:rsidRPr="00C83F61" w:rsidRDefault="00034CCD" w:rsidP="00D30275">
            <w:pPr>
              <w:pStyle w:val="ConsPlusNormal"/>
              <w:ind w:firstLine="10"/>
              <w:jc w:val="both"/>
            </w:pPr>
            <w:r w:rsidRPr="00C83F61"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428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proofErr w:type="spellStart"/>
            <w:r w:rsidRPr="00C83F61">
              <w:rPr>
                <w:color w:val="000000"/>
              </w:rPr>
              <w:t>справочно</w:t>
            </w:r>
            <w:proofErr w:type="spellEnd"/>
            <w:r w:rsidRPr="00C83F61">
              <w:rPr>
                <w:color w:val="000000"/>
              </w:rPr>
              <w:t>: величина уставного капитала &lt;1&gt;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  <w:vMerge/>
          </w:tcPr>
          <w:p w:rsidR="00034CCD" w:rsidRPr="00C83F61" w:rsidRDefault="00034CCD" w:rsidP="00D30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944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определенный законодательством минимальный размер уставного капитала &lt;1&gt;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X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  <w:jc w:val="center"/>
            </w:pPr>
            <w:r w:rsidRPr="00C83F61">
              <w:t>X</w:t>
            </w: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  <w:vMerge/>
          </w:tcPr>
          <w:p w:rsidR="00034CCD" w:rsidRPr="00C83F61" w:rsidRDefault="00034CCD" w:rsidP="00D30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634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Коэффициент покрытия основных средств собственными средствами К</w:t>
            </w:r>
            <w:proofErr w:type="gramStart"/>
            <w:r w:rsidRPr="00C83F61">
              <w:rPr>
                <w:color w:val="000000"/>
              </w:rPr>
              <w:t>2</w:t>
            </w:r>
            <w:proofErr w:type="gramEnd"/>
            <w:r w:rsidRPr="00C83F61">
              <w:rPr>
                <w:color w:val="000000"/>
              </w:rPr>
              <w:t xml:space="preserve"> &lt;2&gt;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больше или равно 1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428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Коэффициент текущей ликвидности К3 &lt;2&gt;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больше или равно 1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459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Рентабельность продаж в отчетном периоде К</w:t>
            </w:r>
            <w:proofErr w:type="gramStart"/>
            <w:r w:rsidRPr="00C83F61">
              <w:rPr>
                <w:color w:val="000000"/>
              </w:rPr>
              <w:t>4</w:t>
            </w:r>
            <w:proofErr w:type="gramEnd"/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больше или равно 0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355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C83F61">
              <w:rPr>
                <w:color w:val="000000"/>
              </w:rPr>
              <w:t>Рентабельность продаж в анализируемом периоде К</w:t>
            </w:r>
            <w:proofErr w:type="gramStart"/>
            <w:r w:rsidRPr="00C83F61">
              <w:rPr>
                <w:color w:val="000000"/>
              </w:rPr>
              <w:t>4</w:t>
            </w:r>
            <w:proofErr w:type="gramEnd"/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больше или равно 0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  <w:tr w:rsidR="00034CCD" w:rsidRPr="00C83F61" w:rsidTr="00D30275">
        <w:trPr>
          <w:trHeight w:val="535"/>
        </w:trPr>
        <w:tc>
          <w:tcPr>
            <w:tcW w:w="3261" w:type="dxa"/>
          </w:tcPr>
          <w:p w:rsidR="00034CCD" w:rsidRPr="00C83F61" w:rsidRDefault="00034CCD" w:rsidP="00D30275">
            <w:pPr>
              <w:pStyle w:val="ConsPlusNormal"/>
              <w:ind w:firstLine="0"/>
              <w:jc w:val="both"/>
            </w:pPr>
            <w:r w:rsidRPr="00C83F61">
              <w:t>Норма чистой прибыли в отчетном периоде К5</w:t>
            </w: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69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2172" w:type="dxa"/>
          </w:tcPr>
          <w:p w:rsidR="00034CCD" w:rsidRPr="00C83F61" w:rsidRDefault="00034CCD" w:rsidP="00D30275">
            <w:pPr>
              <w:pStyle w:val="ConsPlusNormal"/>
              <w:ind w:firstLine="0"/>
            </w:pPr>
          </w:p>
        </w:tc>
        <w:tc>
          <w:tcPr>
            <w:tcW w:w="3825" w:type="dxa"/>
          </w:tcPr>
          <w:p w:rsidR="00034CCD" w:rsidRPr="00C83F61" w:rsidRDefault="00034CCD" w:rsidP="00D30275">
            <w:pPr>
              <w:pStyle w:val="ConsPlusNormal"/>
              <w:ind w:firstLine="10"/>
              <w:jc w:val="center"/>
            </w:pPr>
            <w:r w:rsidRPr="00C83F61">
              <w:t>больше или равно 0</w:t>
            </w:r>
          </w:p>
        </w:tc>
        <w:tc>
          <w:tcPr>
            <w:tcW w:w="1442" w:type="dxa"/>
          </w:tcPr>
          <w:p w:rsidR="00034CCD" w:rsidRPr="00C83F61" w:rsidRDefault="00034CCD" w:rsidP="00D30275">
            <w:pPr>
              <w:pStyle w:val="ConsPlusNormal"/>
            </w:pPr>
          </w:p>
        </w:tc>
      </w:tr>
    </w:tbl>
    <w:p w:rsidR="00034CCD" w:rsidRDefault="00034CCD" w:rsidP="00034CCD">
      <w:pPr>
        <w:ind w:firstLine="720"/>
        <w:jc w:val="center"/>
        <w:rPr>
          <w:lang w:val="ru-RU"/>
        </w:rPr>
      </w:pPr>
    </w:p>
    <w:p w:rsidR="00034CCD" w:rsidRDefault="00034CCD" w:rsidP="00034CCD">
      <w:pPr>
        <w:ind w:firstLine="720"/>
        <w:jc w:val="center"/>
        <w:rPr>
          <w:lang w:val="ru-RU"/>
        </w:rPr>
        <w:sectPr w:rsidR="00034CCD" w:rsidSect="003E4885">
          <w:pgSz w:w="16838" w:h="11906" w:orient="landscape"/>
          <w:pgMar w:top="1701" w:right="1134" w:bottom="851" w:left="1134" w:header="851" w:footer="851" w:gutter="0"/>
          <w:cols w:space="720"/>
          <w:titlePg/>
          <w:docGrid w:linePitch="360"/>
        </w:sectPr>
      </w:pPr>
    </w:p>
    <w:p w:rsidR="00034CCD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lastRenderedPageBreak/>
        <w:t>Заключение: 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034CCD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Наименование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должнос</w:t>
      </w:r>
      <w:r>
        <w:rPr>
          <w:rFonts w:ascii="Arial" w:hAnsi="Arial" w:cs="Arial"/>
          <w:sz w:val="24"/>
          <w:szCs w:val="24"/>
        </w:rPr>
        <w:t xml:space="preserve">ти руководителя    </w:t>
      </w:r>
      <w:r w:rsidRPr="00C83F61">
        <w:rPr>
          <w:rFonts w:ascii="Arial" w:hAnsi="Arial" w:cs="Arial"/>
          <w:sz w:val="24"/>
          <w:szCs w:val="24"/>
        </w:rPr>
        <w:t xml:space="preserve"> _____________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C83F61">
        <w:rPr>
          <w:rFonts w:ascii="Arial" w:hAnsi="Arial" w:cs="Arial"/>
          <w:sz w:val="24"/>
          <w:szCs w:val="24"/>
        </w:rPr>
        <w:t>_____________________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</w:rPr>
      </w:pPr>
      <w:r w:rsidRPr="00C83F61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</w:t>
      </w:r>
      <w:r w:rsidRPr="00C83F61">
        <w:rPr>
          <w:rFonts w:ascii="Arial" w:hAnsi="Arial" w:cs="Arial"/>
        </w:rPr>
        <w:t xml:space="preserve"> (подпись)                </w:t>
      </w:r>
      <w:r>
        <w:rPr>
          <w:rFonts w:ascii="Arial" w:hAnsi="Arial" w:cs="Arial"/>
        </w:rPr>
        <w:t xml:space="preserve">                                  </w:t>
      </w:r>
      <w:r w:rsidRPr="00C83F61">
        <w:rPr>
          <w:rFonts w:ascii="Arial" w:hAnsi="Arial" w:cs="Arial"/>
        </w:rPr>
        <w:t xml:space="preserve">   (Ф.И.О.)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</w:rPr>
      </w:pPr>
      <w:r w:rsidRPr="00C83F61">
        <w:rPr>
          <w:rFonts w:ascii="Arial" w:hAnsi="Arial" w:cs="Arial"/>
        </w:rPr>
        <w:t>М.П.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_______________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</w:rPr>
      </w:pPr>
      <w:r w:rsidRPr="00C83F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C83F61">
        <w:rPr>
          <w:rFonts w:ascii="Arial" w:hAnsi="Arial" w:cs="Arial"/>
          <w:sz w:val="24"/>
          <w:szCs w:val="24"/>
        </w:rPr>
        <w:t xml:space="preserve"> </w:t>
      </w:r>
      <w:r w:rsidRPr="00C83F61">
        <w:rPr>
          <w:rFonts w:ascii="Arial" w:hAnsi="Arial" w:cs="Arial"/>
        </w:rPr>
        <w:t>(дата)</w:t>
      </w: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Default="00034CCD" w:rsidP="00034CCD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CCD" w:rsidRPr="00C83F61" w:rsidRDefault="00034CCD" w:rsidP="00034CCD">
      <w:pPr>
        <w:pStyle w:val="ConsPlusNormal"/>
        <w:spacing w:before="200"/>
        <w:ind w:firstLine="5103"/>
        <w:jc w:val="both"/>
        <w:rPr>
          <w:sz w:val="24"/>
          <w:szCs w:val="24"/>
        </w:rPr>
      </w:pPr>
      <w:r w:rsidRPr="00C83F61">
        <w:rPr>
          <w:sz w:val="24"/>
          <w:szCs w:val="24"/>
        </w:rPr>
        <w:lastRenderedPageBreak/>
        <w:t>Приложение  2</w:t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к П</w:t>
      </w:r>
      <w:r>
        <w:rPr>
          <w:rFonts w:ascii="Arial" w:hAnsi="Arial" w:cs="Arial"/>
        </w:rPr>
        <w:t xml:space="preserve">орядку определения при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 xml:space="preserve">предоставлении муниципальной </w:t>
      </w:r>
    </w:p>
    <w:p w:rsidR="00034CCD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гарант</w:t>
      </w:r>
      <w:r>
        <w:rPr>
          <w:rFonts w:ascii="Arial" w:hAnsi="Arial" w:cs="Arial"/>
        </w:rPr>
        <w:t>ии минимального объема (суммы) обеспечения исполнения</w:t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обяз</w:t>
      </w:r>
      <w:r>
        <w:rPr>
          <w:rFonts w:ascii="Arial" w:hAnsi="Arial" w:cs="Arial"/>
        </w:rPr>
        <w:t>ательств</w:t>
      </w:r>
      <w:r>
        <w:rPr>
          <w:rFonts w:ascii="Arial" w:hAnsi="Arial" w:cs="Arial"/>
        </w:rPr>
        <w:tab/>
        <w:t xml:space="preserve">принципала по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довлетворению регрессного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 xml:space="preserve">требования гаранта к принципалу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 w:rsidRPr="00C83F61">
        <w:rPr>
          <w:rFonts w:ascii="Arial" w:hAnsi="Arial" w:cs="Arial"/>
        </w:rPr>
        <w:t>по му</w:t>
      </w:r>
      <w:r>
        <w:rPr>
          <w:rFonts w:ascii="Arial" w:hAnsi="Arial" w:cs="Arial"/>
        </w:rPr>
        <w:t xml:space="preserve">ниципальной гарантии в </w:t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зависимости от степени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left="5103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удовлетворительности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  <w:lang w:val="ru-RU"/>
        </w:rPr>
      </w:pPr>
      <w:r>
        <w:rPr>
          <w:rFonts w:ascii="Arial" w:hAnsi="Arial" w:cs="Arial"/>
        </w:rPr>
        <w:t>финансового состояния</w:t>
      </w:r>
    </w:p>
    <w:p w:rsidR="00034CCD" w:rsidRPr="00C83F61" w:rsidRDefault="00034CCD" w:rsidP="00034CCD">
      <w:pPr>
        <w:autoSpaceDE w:val="0"/>
        <w:autoSpaceDN w:val="0"/>
        <w:adjustRightInd w:val="0"/>
        <w:ind w:firstLine="5103"/>
        <w:rPr>
          <w:rFonts w:ascii="Arial" w:hAnsi="Arial" w:cs="Arial"/>
        </w:rPr>
      </w:pPr>
      <w:r w:rsidRPr="00C83F61">
        <w:rPr>
          <w:rFonts w:ascii="Arial" w:hAnsi="Arial" w:cs="Arial"/>
        </w:rPr>
        <w:t>принципала</w:t>
      </w:r>
    </w:p>
    <w:p w:rsidR="00034CCD" w:rsidRDefault="00034CCD" w:rsidP="00034CCD">
      <w:pPr>
        <w:pStyle w:val="ConsPlusNormal"/>
        <w:jc w:val="both"/>
      </w:pPr>
    </w:p>
    <w:p w:rsidR="00034CCD" w:rsidRDefault="00034CCD" w:rsidP="00034CCD">
      <w:pPr>
        <w:pStyle w:val="ConsPlusNormal"/>
        <w:jc w:val="both"/>
      </w:pPr>
    </w:p>
    <w:p w:rsidR="00034CCD" w:rsidRPr="00C83F61" w:rsidRDefault="00034CCD" w:rsidP="00034CCD">
      <w:pPr>
        <w:pStyle w:val="ConsPlusNormal"/>
        <w:jc w:val="center"/>
        <w:rPr>
          <w:sz w:val="24"/>
          <w:szCs w:val="24"/>
        </w:rPr>
      </w:pPr>
      <w:bookmarkStart w:id="6" w:name="P313"/>
      <w:bookmarkEnd w:id="6"/>
      <w:r w:rsidRPr="00C83F61">
        <w:rPr>
          <w:sz w:val="24"/>
          <w:szCs w:val="24"/>
        </w:rPr>
        <w:t>Заключение</w:t>
      </w:r>
    </w:p>
    <w:p w:rsidR="00034CCD" w:rsidRPr="00C83F61" w:rsidRDefault="00034CCD" w:rsidP="00034CCD">
      <w:pPr>
        <w:pStyle w:val="ConsPlusNormal"/>
        <w:jc w:val="center"/>
        <w:rPr>
          <w:sz w:val="24"/>
          <w:szCs w:val="24"/>
        </w:rPr>
      </w:pPr>
      <w:r w:rsidRPr="00C83F61">
        <w:rPr>
          <w:sz w:val="24"/>
          <w:szCs w:val="24"/>
        </w:rPr>
        <w:t>№ ____ от «__» ________ 20__ г.</w:t>
      </w:r>
    </w:p>
    <w:p w:rsidR="00034CCD" w:rsidRPr="00C83F61" w:rsidRDefault="00034CCD" w:rsidP="00034CCD">
      <w:pPr>
        <w:pStyle w:val="ConsPlusNormal"/>
        <w:jc w:val="center"/>
        <w:rPr>
          <w:sz w:val="24"/>
          <w:szCs w:val="24"/>
        </w:rPr>
      </w:pPr>
      <w:r w:rsidRPr="00C83F61">
        <w:rPr>
          <w:sz w:val="24"/>
          <w:szCs w:val="24"/>
        </w:rPr>
        <w:t>о проверке достаточности, надежности и ликвидности обеспечения исполнения обязатель</w:t>
      </w:r>
      <w:proofErr w:type="gramStart"/>
      <w:r w:rsidRPr="00C83F61">
        <w:rPr>
          <w:sz w:val="24"/>
          <w:szCs w:val="24"/>
        </w:rPr>
        <w:t>ств пр</w:t>
      </w:r>
      <w:proofErr w:type="gramEnd"/>
      <w:r w:rsidRPr="00C83F61">
        <w:rPr>
          <w:sz w:val="24"/>
          <w:szCs w:val="24"/>
        </w:rPr>
        <w:t>инципала, предоставляемого при предоставлении муниципальных гарантий</w:t>
      </w:r>
    </w:p>
    <w:p w:rsidR="00034CCD" w:rsidRPr="00C83F61" w:rsidRDefault="00034CCD" w:rsidP="00034CCD">
      <w:pPr>
        <w:pStyle w:val="ConsPlusNormal"/>
        <w:jc w:val="center"/>
        <w:rPr>
          <w:sz w:val="24"/>
          <w:szCs w:val="24"/>
        </w:rPr>
      </w:pPr>
      <w:r w:rsidRPr="00C83F61">
        <w:rPr>
          <w:sz w:val="24"/>
          <w:szCs w:val="24"/>
        </w:rPr>
        <w:t xml:space="preserve"> ___________________________________________________________</w:t>
      </w:r>
    </w:p>
    <w:p w:rsidR="00034CCD" w:rsidRPr="00F10EE1" w:rsidRDefault="00034CCD" w:rsidP="00034CCD">
      <w:pPr>
        <w:pStyle w:val="ConsPlusNormal"/>
        <w:jc w:val="center"/>
      </w:pPr>
      <w:proofErr w:type="gramStart"/>
      <w:r w:rsidRPr="00F10EE1">
        <w:t>(полное наименование организации (гаранта/поручителя)</w:t>
      </w:r>
      <w:proofErr w:type="gramEnd"/>
    </w:p>
    <w:p w:rsidR="00034CCD" w:rsidRPr="00C83F61" w:rsidRDefault="00034CCD" w:rsidP="00034C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83F61">
        <w:rPr>
          <w:sz w:val="24"/>
          <w:szCs w:val="24"/>
        </w:rPr>
        <w:t xml:space="preserve">Финансовое управление администрации </w:t>
      </w:r>
      <w:r>
        <w:rPr>
          <w:sz w:val="24"/>
          <w:szCs w:val="24"/>
        </w:rPr>
        <w:t>Большеулуйского</w:t>
      </w:r>
      <w:r w:rsidRPr="00C83F61">
        <w:rPr>
          <w:sz w:val="24"/>
          <w:szCs w:val="24"/>
        </w:rPr>
        <w:t xml:space="preserve"> района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Новоеловского</w:t>
      </w:r>
      <w:proofErr w:type="spellEnd"/>
      <w:r>
        <w:rPr>
          <w:sz w:val="24"/>
          <w:szCs w:val="24"/>
        </w:rPr>
        <w:t xml:space="preserve"> сельсовета Большеулуйского района Красноярского края</w:t>
      </w:r>
      <w:r w:rsidRPr="00C83F61">
        <w:rPr>
          <w:sz w:val="24"/>
          <w:szCs w:val="24"/>
        </w:rPr>
        <w:t>,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</w:t>
      </w:r>
      <w:proofErr w:type="gramEnd"/>
      <w:r w:rsidRPr="00C83F61">
        <w:rPr>
          <w:sz w:val="24"/>
          <w:szCs w:val="24"/>
        </w:rPr>
        <w:t xml:space="preserve">__ </w:t>
      </w:r>
      <w:proofErr w:type="gramStart"/>
      <w:r w:rsidRPr="00C83F61">
        <w:rPr>
          <w:sz w:val="24"/>
          <w:szCs w:val="24"/>
        </w:rPr>
        <w:t>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</w:t>
      </w:r>
      <w:proofErr w:type="gramEnd"/>
      <w:r w:rsidRPr="00C83F61">
        <w:rPr>
          <w:sz w:val="24"/>
          <w:szCs w:val="24"/>
        </w:rPr>
        <w:t>) гарантируемых обязательств на сумму ___________ (указывается сумма поручительства по Договору об обеспечении).</w:t>
      </w:r>
    </w:p>
    <w:p w:rsidR="00034CCD" w:rsidRPr="00C83F61" w:rsidRDefault="00034CCD" w:rsidP="00034CCD">
      <w:pPr>
        <w:pStyle w:val="ConsPlusNormal"/>
        <w:jc w:val="both"/>
        <w:rPr>
          <w:sz w:val="24"/>
          <w:szCs w:val="24"/>
        </w:rPr>
      </w:pP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Наименование</w:t>
      </w:r>
    </w:p>
    <w:p w:rsidR="00034CCD" w:rsidRPr="00C83F61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83F61">
        <w:rPr>
          <w:rFonts w:ascii="Arial" w:hAnsi="Arial" w:cs="Arial"/>
          <w:sz w:val="24"/>
          <w:szCs w:val="24"/>
        </w:rPr>
        <w:t>должност</w:t>
      </w:r>
      <w:r>
        <w:rPr>
          <w:rFonts w:ascii="Arial" w:hAnsi="Arial" w:cs="Arial"/>
          <w:sz w:val="24"/>
          <w:szCs w:val="24"/>
        </w:rPr>
        <w:t xml:space="preserve">и руководителя                </w:t>
      </w:r>
      <w:r w:rsidRPr="00C83F6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               _________________</w:t>
      </w:r>
    </w:p>
    <w:p w:rsidR="00034CCD" w:rsidRPr="00F10EE1" w:rsidRDefault="00034CCD" w:rsidP="00034CCD">
      <w:pPr>
        <w:pStyle w:val="ConsPlusNonformat"/>
        <w:jc w:val="both"/>
        <w:rPr>
          <w:rFonts w:ascii="Arial" w:hAnsi="Arial" w:cs="Arial"/>
        </w:rPr>
      </w:pPr>
      <w:r w:rsidRPr="00C83F61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10EE1">
        <w:rPr>
          <w:rFonts w:ascii="Arial" w:hAnsi="Arial" w:cs="Arial"/>
        </w:rPr>
        <w:t xml:space="preserve">(подпись)               </w:t>
      </w:r>
      <w:r>
        <w:rPr>
          <w:rFonts w:ascii="Arial" w:hAnsi="Arial" w:cs="Arial"/>
        </w:rPr>
        <w:t xml:space="preserve">                      </w:t>
      </w:r>
      <w:r w:rsidRPr="00F10EE1">
        <w:rPr>
          <w:rFonts w:ascii="Arial" w:hAnsi="Arial" w:cs="Arial"/>
        </w:rPr>
        <w:t xml:space="preserve">  (Ф.И.О.)</w:t>
      </w:r>
    </w:p>
    <w:p w:rsidR="00034CCD" w:rsidRDefault="00034CCD" w:rsidP="00034CC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C83F61">
        <w:rPr>
          <w:rFonts w:ascii="Arial" w:hAnsi="Arial" w:cs="Arial"/>
          <w:sz w:val="24"/>
          <w:szCs w:val="24"/>
        </w:rPr>
        <w:t xml:space="preserve"> _______________</w:t>
      </w:r>
    </w:p>
    <w:p w:rsidR="00034CCD" w:rsidRPr="00F10EE1" w:rsidRDefault="00034CCD" w:rsidP="00034CC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F10EE1">
        <w:rPr>
          <w:rFonts w:ascii="Arial" w:hAnsi="Arial" w:cs="Arial"/>
        </w:rPr>
        <w:t>(дата)</w:t>
      </w:r>
    </w:p>
    <w:p w:rsidR="00034CCD" w:rsidRPr="00C83F61" w:rsidRDefault="00034CCD" w:rsidP="00034CCD">
      <w:pPr>
        <w:ind w:firstLine="720"/>
        <w:jc w:val="center"/>
        <w:rPr>
          <w:rFonts w:ascii="Arial" w:hAnsi="Arial" w:cs="Arial"/>
          <w:lang w:val="ru-RU"/>
        </w:rPr>
      </w:pPr>
    </w:p>
    <w:p w:rsidR="0033412B" w:rsidRDefault="0033412B"/>
    <w:sectPr w:rsidR="0033412B" w:rsidSect="00E60E26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1" w:rsidRDefault="00034C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53A11" w:rsidRPr="00B252E0" w:rsidRDefault="00034CCD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1" w:rsidRDefault="00034CCD">
    <w:pPr>
      <w:pStyle w:val="a5"/>
      <w:rPr>
        <w:lang w:val="ru-RU"/>
      </w:rPr>
    </w:pPr>
  </w:p>
  <w:p w:rsidR="00853A11" w:rsidRPr="0034778D" w:rsidRDefault="00034CCD">
    <w:pPr>
      <w:pStyle w:val="a5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6" w:rsidRPr="002C6947" w:rsidRDefault="00034CCD" w:rsidP="00E60E26">
    <w:pPr>
      <w:pStyle w:val="a5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6" w:rsidRPr="0090272C" w:rsidRDefault="00034CCD">
    <w:pPr>
      <w:pStyle w:val="a5"/>
      <w:rPr>
        <w:lang w:val="ru-RU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11" w:rsidRDefault="00034CCD">
    <w:pPr>
      <w:pStyle w:val="a3"/>
      <w:jc w:val="center"/>
    </w:pPr>
    <w:r>
      <w:rPr>
        <w:lang w:val="ru-RU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6" w:rsidRDefault="00034CCD" w:rsidP="00E60E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0E26" w:rsidRDefault="00034CCD">
    <w:pPr>
      <w:pStyle w:val="a3"/>
    </w:pPr>
  </w:p>
  <w:p w:rsidR="00E60E26" w:rsidRDefault="00034C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6" w:rsidRDefault="00034CCD">
    <w:pPr>
      <w:pStyle w:val="a3"/>
    </w:pPr>
  </w:p>
  <w:p w:rsidR="00E60E26" w:rsidRDefault="00034C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34CCD"/>
    <w:rsid w:val="00034CCD"/>
    <w:rsid w:val="001959B5"/>
    <w:rsid w:val="002A1573"/>
    <w:rsid w:val="0033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D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CCD"/>
    <w:pPr>
      <w:suppressLineNumbers/>
      <w:tabs>
        <w:tab w:val="center" w:pos="4818"/>
        <w:tab w:val="right" w:pos="9637"/>
      </w:tabs>
    </w:pPr>
  </w:style>
  <w:style w:type="character" w:customStyle="1" w:styleId="a4">
    <w:name w:val="Верхний колонтитул Знак"/>
    <w:basedOn w:val="a0"/>
    <w:link w:val="a3"/>
    <w:rsid w:val="00034CCD"/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034C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CCD"/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034CC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034C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page number"/>
    <w:rsid w:val="00034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header" Target="header3.xml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3264</Words>
  <Characters>18609</Characters>
  <Application>Microsoft Office Word</Application>
  <DocSecurity>0</DocSecurity>
  <Lines>155</Lines>
  <Paragraphs>43</Paragraphs>
  <ScaleCrop>false</ScaleCrop>
  <Company>Microsoft</Company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2021-02-24T07:42:00Z</dcterms:created>
  <dcterms:modified xsi:type="dcterms:W3CDTF">2021-02-24T07:43:00Z</dcterms:modified>
</cp:coreProperties>
</file>